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99" w:rsidRDefault="00E30029" w:rsidP="003C4A2A">
      <w:pPr>
        <w:jc w:val="center"/>
        <w:rPr>
          <w:b/>
          <w:sz w:val="28"/>
          <w:szCs w:val="28"/>
        </w:rPr>
      </w:pPr>
      <w:r w:rsidRPr="00E30029">
        <w:rPr>
          <w:b/>
          <w:sz w:val="28"/>
          <w:szCs w:val="28"/>
        </w:rPr>
        <w:t>Cyber Liability Insurance Overview of Coverage</w:t>
      </w:r>
    </w:p>
    <w:p w:rsidR="003C4A2A" w:rsidRPr="003C4A2A" w:rsidRDefault="003C4A2A" w:rsidP="003C4A2A">
      <w:pPr>
        <w:shd w:val="clear" w:color="auto" w:fill="FFFFFF"/>
        <w:spacing w:after="150" w:line="240" w:lineRule="auto"/>
        <w:rPr>
          <w:rFonts w:ascii="Open Sans" w:eastAsia="Times New Roman" w:hAnsi="Open Sans" w:cs="Arial"/>
          <w:color w:val="2E2E2E"/>
          <w:sz w:val="21"/>
          <w:szCs w:val="21"/>
        </w:rPr>
      </w:pPr>
      <w:r w:rsidRPr="003C4A2A">
        <w:rPr>
          <w:rFonts w:ascii="Open Sans" w:eastAsia="Times New Roman" w:hAnsi="Open Sans" w:cs="Arial"/>
          <w:color w:val="2E2E2E"/>
          <w:sz w:val="21"/>
          <w:szCs w:val="21"/>
        </w:rPr>
        <w:t xml:space="preserve">A type of insurance designed to cover consumers of technology services or products. More specifically, the policies are intended to cover a variety of both liability and property losses that may result when a business engages in various electronic activities, such as selling on the Internet or collecting data within its internal electronic network. </w:t>
      </w:r>
    </w:p>
    <w:p w:rsidR="003C4A2A" w:rsidRPr="003C4A2A" w:rsidRDefault="003C4A2A" w:rsidP="003C4A2A">
      <w:pPr>
        <w:shd w:val="clear" w:color="auto" w:fill="FFFFFF"/>
        <w:spacing w:after="150" w:line="240" w:lineRule="auto"/>
        <w:rPr>
          <w:rFonts w:ascii="Open Sans" w:eastAsia="Times New Roman" w:hAnsi="Open Sans" w:cs="Arial"/>
          <w:color w:val="2E2E2E"/>
          <w:sz w:val="21"/>
          <w:szCs w:val="21"/>
        </w:rPr>
      </w:pPr>
      <w:r w:rsidRPr="003C4A2A">
        <w:rPr>
          <w:rFonts w:ascii="Open Sans" w:eastAsia="Times New Roman" w:hAnsi="Open Sans" w:cs="Arial"/>
          <w:color w:val="2E2E2E"/>
          <w:sz w:val="21"/>
          <w:szCs w:val="21"/>
        </w:rPr>
        <w:t xml:space="preserve">Most notably, but not exclusively, cyber and privacy policies cover a business' liability for a data breach in which the firm's customers' personal information, such as Social Security or credit card numbers, is exposed or stolen by a hacker or other criminal who has gained access to the firm's electronic network. The policies cover a variety of expenses associated with data breaches, including: notification costs, credit monitoring, costs to defend claims by state regulators, fines and penalties, and loss resulting from identity theft. </w:t>
      </w:r>
    </w:p>
    <w:p w:rsidR="003C4A2A" w:rsidRPr="003C4A2A" w:rsidRDefault="003C4A2A" w:rsidP="003C4A2A">
      <w:pPr>
        <w:shd w:val="clear" w:color="auto" w:fill="FFFFFF"/>
        <w:spacing w:after="150" w:line="240" w:lineRule="auto"/>
        <w:rPr>
          <w:rFonts w:ascii="Open Sans" w:eastAsia="Times New Roman" w:hAnsi="Open Sans" w:cs="Arial"/>
          <w:color w:val="2E2E2E"/>
          <w:sz w:val="21"/>
          <w:szCs w:val="21"/>
        </w:rPr>
      </w:pPr>
      <w:r w:rsidRPr="003C4A2A">
        <w:rPr>
          <w:rFonts w:ascii="Open Sans" w:eastAsia="Times New Roman" w:hAnsi="Open Sans" w:cs="Arial"/>
          <w:color w:val="2E2E2E"/>
          <w:sz w:val="21"/>
          <w:szCs w:val="21"/>
        </w:rPr>
        <w:t xml:space="preserve">In addition, the policies cover liability arising from website media content, as well as property exposures from: (a) business interruption, (b) data loss/destruction, (c) computer fraud, (d) funds transfer loss, and (e) cyber extortion. </w:t>
      </w:r>
    </w:p>
    <w:p w:rsidR="003C4A2A" w:rsidRPr="003C4A2A" w:rsidRDefault="003C4A2A" w:rsidP="003C4A2A">
      <w:pPr>
        <w:shd w:val="clear" w:color="auto" w:fill="FFFFFF"/>
        <w:spacing w:after="150" w:line="240" w:lineRule="auto"/>
        <w:rPr>
          <w:rFonts w:ascii="Open Sans" w:eastAsia="Times New Roman" w:hAnsi="Open Sans" w:cs="Arial"/>
          <w:color w:val="2E2E2E"/>
          <w:sz w:val="21"/>
          <w:szCs w:val="21"/>
        </w:rPr>
      </w:pPr>
      <w:r w:rsidRPr="003C4A2A">
        <w:rPr>
          <w:rFonts w:ascii="Open Sans" w:eastAsia="Times New Roman" w:hAnsi="Open Sans" w:cs="Arial"/>
          <w:color w:val="2E2E2E"/>
          <w:sz w:val="21"/>
          <w:szCs w:val="21"/>
        </w:rPr>
        <w:t xml:space="preserve">Cyber and privacy insurance is often confused with technology errors and omissions (tech E&amp;O) insurance. In contrast to cyber and privacy insurance, tech E&amp;O coverage is intended to protect providers of technology products and services, such as computer software and hardware manufacturers, website designers, and firms that store corporate data on an off-site basis. </w:t>
      </w:r>
    </w:p>
    <w:p w:rsidR="00E30029" w:rsidRPr="00E30029" w:rsidRDefault="003C4A2A" w:rsidP="00E30029">
      <w:pPr>
        <w:rPr>
          <w:b/>
        </w:rPr>
      </w:pPr>
      <w:r>
        <w:rPr>
          <w:b/>
        </w:rPr>
        <w:t>Coverage includes the following:</w:t>
      </w:r>
      <w:bookmarkStart w:id="0" w:name="_GoBack"/>
      <w:bookmarkEnd w:id="0"/>
    </w:p>
    <w:p w:rsidR="00E30029" w:rsidRDefault="00E30029" w:rsidP="00E30029">
      <w:pPr>
        <w:numPr>
          <w:ilvl w:val="1"/>
          <w:numId w:val="1"/>
        </w:numPr>
        <w:spacing w:line="240" w:lineRule="auto"/>
      </w:pPr>
      <w:r w:rsidRPr="00E30029">
        <w:t>Forensic Exams – covered up to the policy aggregate</w:t>
      </w:r>
    </w:p>
    <w:p w:rsidR="00B40453" w:rsidRPr="00E30029" w:rsidRDefault="00E30029" w:rsidP="00E30029">
      <w:pPr>
        <w:numPr>
          <w:ilvl w:val="1"/>
          <w:numId w:val="1"/>
        </w:numPr>
        <w:spacing w:line="240" w:lineRule="auto"/>
      </w:pPr>
      <w:r w:rsidRPr="00E30029">
        <w:t xml:space="preserve">Outside Counsel </w:t>
      </w:r>
      <w:r>
        <w:t>t</w:t>
      </w:r>
      <w:r w:rsidRPr="00E30029">
        <w:t xml:space="preserve">o Handle </w:t>
      </w:r>
      <w:r>
        <w:t>t</w:t>
      </w:r>
      <w:r w:rsidRPr="00E30029">
        <w:t>he Breach – specialized law firms who specialize in data breaches</w:t>
      </w:r>
    </w:p>
    <w:p w:rsidR="00B40453" w:rsidRPr="00E30029" w:rsidRDefault="00E30029" w:rsidP="00E30029">
      <w:pPr>
        <w:numPr>
          <w:ilvl w:val="1"/>
          <w:numId w:val="1"/>
        </w:numPr>
        <w:spacing w:line="240" w:lineRule="auto"/>
      </w:pPr>
      <w:r>
        <w:t>Public Relations t</w:t>
      </w:r>
      <w:r w:rsidRPr="00E30029">
        <w:t>o Handle Media Communications – covered up to the policy aggregate</w:t>
      </w:r>
    </w:p>
    <w:p w:rsidR="00B40453" w:rsidRPr="00E30029" w:rsidRDefault="00E30029" w:rsidP="00E30029">
      <w:pPr>
        <w:numPr>
          <w:ilvl w:val="1"/>
          <w:numId w:val="1"/>
        </w:numPr>
        <w:spacing w:line="240" w:lineRule="auto"/>
      </w:pPr>
      <w:r w:rsidRPr="00E30029">
        <w:t xml:space="preserve">Offering Credit Monitoring </w:t>
      </w:r>
      <w:r>
        <w:t>t</w:t>
      </w:r>
      <w:r w:rsidRPr="00E30029">
        <w:t>o Affected Consumers – 1 year of credit monitoring with Experian</w:t>
      </w:r>
    </w:p>
    <w:p w:rsidR="00B40453" w:rsidRPr="00E30029" w:rsidRDefault="00E30029" w:rsidP="00E30029">
      <w:pPr>
        <w:numPr>
          <w:ilvl w:val="1"/>
          <w:numId w:val="1"/>
        </w:numPr>
        <w:spacing w:line="240" w:lineRule="auto"/>
      </w:pPr>
      <w:r w:rsidRPr="00E30029">
        <w:t xml:space="preserve">Setting Up </w:t>
      </w:r>
      <w:r>
        <w:t>a</w:t>
      </w:r>
      <w:r w:rsidRPr="00E30029">
        <w:t xml:space="preserve"> Call Center </w:t>
      </w:r>
      <w:r>
        <w:t>t</w:t>
      </w:r>
      <w:r w:rsidRPr="00E30029">
        <w:t>o Handle Consumer Calls – a breach coach assists in call center selection</w:t>
      </w:r>
    </w:p>
    <w:p w:rsidR="00B40453" w:rsidRPr="00E30029" w:rsidRDefault="00E30029" w:rsidP="00E30029">
      <w:pPr>
        <w:numPr>
          <w:ilvl w:val="1"/>
          <w:numId w:val="1"/>
        </w:numPr>
        <w:spacing w:line="240" w:lineRule="auto"/>
      </w:pPr>
      <w:r w:rsidRPr="00E30029">
        <w:t>Extortion Payments -  covered up to the policy aggregate</w:t>
      </w:r>
    </w:p>
    <w:p w:rsidR="00B40453" w:rsidRPr="00E30029" w:rsidRDefault="00E30029" w:rsidP="00E30029">
      <w:pPr>
        <w:numPr>
          <w:ilvl w:val="1"/>
          <w:numId w:val="1"/>
        </w:numPr>
        <w:spacing w:line="240" w:lineRule="auto"/>
      </w:pPr>
      <w:r w:rsidRPr="00E30029">
        <w:t>Business Interruption Costs – covered up to the policy aggregate</w:t>
      </w:r>
    </w:p>
    <w:p w:rsidR="00B40453" w:rsidRPr="00E30029" w:rsidRDefault="00E30029" w:rsidP="00E30029">
      <w:pPr>
        <w:numPr>
          <w:ilvl w:val="1"/>
          <w:numId w:val="1"/>
        </w:numPr>
        <w:spacing w:line="240" w:lineRule="auto"/>
      </w:pPr>
      <w:r w:rsidRPr="00E30029">
        <w:t>Remediation Costs – covered up to the policy aggregate</w:t>
      </w:r>
    </w:p>
    <w:p w:rsidR="003C4A2A" w:rsidRPr="003C4A2A" w:rsidRDefault="00E30029" w:rsidP="003C4A2A">
      <w:pPr>
        <w:numPr>
          <w:ilvl w:val="1"/>
          <w:numId w:val="1"/>
        </w:numPr>
        <w:spacing w:line="240" w:lineRule="auto"/>
      </w:pPr>
      <w:r w:rsidRPr="00E30029">
        <w:t xml:space="preserve">Restoration </w:t>
      </w:r>
      <w:r>
        <w:t>o</w:t>
      </w:r>
      <w:r w:rsidRPr="00E30029">
        <w:t>f Systems – covered up to the policy aggregate</w:t>
      </w:r>
    </w:p>
    <w:p w:rsidR="00B40453" w:rsidRPr="00E30029" w:rsidRDefault="00E30029" w:rsidP="003C4A2A">
      <w:pPr>
        <w:numPr>
          <w:ilvl w:val="1"/>
          <w:numId w:val="1"/>
        </w:numPr>
        <w:spacing w:line="240" w:lineRule="auto"/>
      </w:pPr>
      <w:r w:rsidRPr="00E30029">
        <w:t>Demands for monetary and non-monetary relief; civil, regulatory and criminal proceedings – covered up to the policy aggregate</w:t>
      </w:r>
    </w:p>
    <w:p w:rsidR="00B40453" w:rsidRPr="00E30029" w:rsidRDefault="00E30029" w:rsidP="003C4A2A">
      <w:pPr>
        <w:numPr>
          <w:ilvl w:val="1"/>
          <w:numId w:val="1"/>
        </w:numPr>
        <w:spacing w:line="240" w:lineRule="auto"/>
      </w:pPr>
      <w:r w:rsidRPr="00E30029">
        <w:t>Coverage for loss, defense costs, punitive damages, fines and penalties - covered up to the policy aggregate</w:t>
      </w:r>
    </w:p>
    <w:p w:rsidR="00B40453" w:rsidRPr="00E30029" w:rsidRDefault="00E30029" w:rsidP="003C4A2A">
      <w:pPr>
        <w:numPr>
          <w:ilvl w:val="1"/>
          <w:numId w:val="1"/>
        </w:numPr>
        <w:spacing w:line="240" w:lineRule="auto"/>
      </w:pPr>
      <w:r w:rsidRPr="00E30029">
        <w:t>Costs associated with regulatory investigations  - covered up to the policy aggregate</w:t>
      </w:r>
    </w:p>
    <w:p w:rsidR="00E30029" w:rsidRDefault="00E30029" w:rsidP="003C4A2A">
      <w:pPr>
        <w:numPr>
          <w:ilvl w:val="1"/>
          <w:numId w:val="1"/>
        </w:numPr>
        <w:spacing w:line="240" w:lineRule="auto"/>
      </w:pPr>
      <w:r w:rsidRPr="00E30029">
        <w:t>Expenses to implement security enhancements or monitoring imposed by a regulator – coverage for expenses to replace and recreate a network in the event of a breach</w:t>
      </w:r>
    </w:p>
    <w:sectPr w:rsidR="00E30029" w:rsidSect="003C4A2A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253F5"/>
    <w:multiLevelType w:val="hybridMultilevel"/>
    <w:tmpl w:val="5518D34C"/>
    <w:lvl w:ilvl="0" w:tplc="B04255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4EE62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121D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070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446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0E34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078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EAC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6862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BD6330"/>
    <w:multiLevelType w:val="hybridMultilevel"/>
    <w:tmpl w:val="F1421490"/>
    <w:lvl w:ilvl="0" w:tplc="44DADB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FAC8C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88B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C035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2676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81F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1E15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EAE5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EF2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29"/>
    <w:rsid w:val="0015432B"/>
    <w:rsid w:val="001637FE"/>
    <w:rsid w:val="003C4A2A"/>
    <w:rsid w:val="008A320D"/>
    <w:rsid w:val="00B40453"/>
    <w:rsid w:val="00D22CE0"/>
    <w:rsid w:val="00E3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9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2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0064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7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5595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9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864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73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725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48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837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732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83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53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9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86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271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455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90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14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47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518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Administration</Company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Faith Cox</dc:creator>
  <cp:lastModifiedBy>Joan Compton</cp:lastModifiedBy>
  <cp:revision>2</cp:revision>
  <dcterms:created xsi:type="dcterms:W3CDTF">2016-05-10T21:26:00Z</dcterms:created>
  <dcterms:modified xsi:type="dcterms:W3CDTF">2016-05-10T21:26:00Z</dcterms:modified>
</cp:coreProperties>
</file>