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5666"/>
        <w:gridCol w:w="263"/>
        <w:gridCol w:w="4007"/>
      </w:tblGrid>
      <w:tr w:rsidR="00933ECF" w14:paraId="775DDEFF" w14:textId="77777777" w:rsidTr="00455429">
        <w:trPr>
          <w:trHeight w:val="720"/>
          <w:jc w:val="center"/>
        </w:trPr>
        <w:tc>
          <w:tcPr>
            <w:tcW w:w="5850" w:type="dxa"/>
            <w:tcBorders>
              <w:top w:val="nil"/>
              <w:left w:val="nil"/>
              <w:bottom w:val="nil"/>
              <w:right w:val="nil"/>
            </w:tcBorders>
          </w:tcPr>
          <w:p w14:paraId="374E404B" w14:textId="48E80611" w:rsidR="00933ECF" w:rsidRDefault="00933ECF" w:rsidP="003B15E9">
            <w:pPr>
              <w:rPr>
                <w:sz w:val="24"/>
                <w:szCs w:val="24"/>
              </w:rPr>
            </w:pPr>
            <w:bookmarkStart w:id="0" w:name="_Hlk87445849"/>
            <w:bookmarkStart w:id="1" w:name="_Hlk121402590"/>
            <w:r>
              <w:rPr>
                <w:noProof/>
                <w:sz w:val="24"/>
                <w:szCs w:val="24"/>
              </w:rPr>
              <w:drawing>
                <wp:inline distT="0" distB="0" distL="0" distR="0" wp14:anchorId="083DA421" wp14:editId="131B82A4">
                  <wp:extent cx="2802577" cy="411044"/>
                  <wp:effectExtent l="0" t="0" r="0" b="825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6004" cy="424747"/>
                          </a:xfrm>
                          <a:prstGeom prst="rect">
                            <a:avLst/>
                          </a:prstGeom>
                        </pic:spPr>
                      </pic:pic>
                    </a:graphicData>
                  </a:graphic>
                </wp:inline>
              </w:drawing>
            </w:r>
          </w:p>
        </w:tc>
        <w:tc>
          <w:tcPr>
            <w:tcW w:w="270" w:type="dxa"/>
            <w:tcBorders>
              <w:top w:val="nil"/>
              <w:left w:val="nil"/>
              <w:bottom w:val="nil"/>
              <w:right w:val="nil"/>
            </w:tcBorders>
          </w:tcPr>
          <w:p w14:paraId="74222342" w14:textId="77777777" w:rsidR="00933ECF" w:rsidRPr="00933ECF" w:rsidRDefault="00933ECF" w:rsidP="003B15E9">
            <w:pPr>
              <w:rPr>
                <w:b/>
                <w:bCs/>
                <w:color w:val="1F3864" w:themeColor="accent1" w:themeShade="80"/>
                <w:sz w:val="36"/>
                <w:szCs w:val="36"/>
              </w:rPr>
            </w:pPr>
          </w:p>
        </w:tc>
        <w:tc>
          <w:tcPr>
            <w:tcW w:w="4680" w:type="dxa"/>
            <w:tcBorders>
              <w:top w:val="nil"/>
              <w:left w:val="nil"/>
              <w:bottom w:val="nil"/>
              <w:right w:val="nil"/>
            </w:tcBorders>
            <w:vAlign w:val="center"/>
          </w:tcPr>
          <w:p w14:paraId="5005536A" w14:textId="12FE6731" w:rsidR="00933ECF" w:rsidRPr="00933ECF" w:rsidRDefault="00933ECF" w:rsidP="003B15E9">
            <w:pPr>
              <w:rPr>
                <w:rFonts w:cstheme="minorHAnsi"/>
              </w:rPr>
            </w:pPr>
          </w:p>
        </w:tc>
      </w:tr>
      <w:tr w:rsidR="00631BDF" w14:paraId="3AD7D02F" w14:textId="77777777" w:rsidTr="00455429">
        <w:trPr>
          <w:jc w:val="center"/>
        </w:trPr>
        <w:tc>
          <w:tcPr>
            <w:tcW w:w="10800" w:type="dxa"/>
            <w:gridSpan w:val="3"/>
            <w:tcBorders>
              <w:top w:val="nil"/>
              <w:left w:val="nil"/>
              <w:bottom w:val="nil"/>
              <w:right w:val="nil"/>
            </w:tcBorders>
          </w:tcPr>
          <w:p w14:paraId="4E29F639" w14:textId="68DB1014" w:rsidR="00631BDF" w:rsidRPr="00631BDF" w:rsidRDefault="00631BDF" w:rsidP="003B15E9">
            <w:pPr>
              <w:rPr>
                <w:rFonts w:cstheme="minorHAnsi"/>
                <w:b/>
                <w:bCs/>
              </w:rPr>
            </w:pPr>
            <w:r w:rsidRPr="00631BDF">
              <w:rPr>
                <w:rFonts w:cstheme="minorHAnsi"/>
                <w:b/>
                <w:bCs/>
                <w:sz w:val="32"/>
                <w:szCs w:val="32"/>
              </w:rPr>
              <w:t>Division of Human Resources Legislative Summary for 202</w:t>
            </w:r>
            <w:r w:rsidR="008D79A2">
              <w:rPr>
                <w:rFonts w:cstheme="minorHAnsi"/>
                <w:b/>
                <w:bCs/>
                <w:sz w:val="32"/>
                <w:szCs w:val="32"/>
              </w:rPr>
              <w:t>3</w:t>
            </w:r>
            <w:r w:rsidRPr="00631BDF">
              <w:rPr>
                <w:rFonts w:cstheme="minorHAnsi"/>
                <w:b/>
                <w:bCs/>
                <w:sz w:val="32"/>
                <w:szCs w:val="32"/>
              </w:rPr>
              <w:t xml:space="preserve"> Session</w:t>
            </w:r>
          </w:p>
        </w:tc>
      </w:tr>
      <w:bookmarkEnd w:id="0"/>
    </w:tbl>
    <w:p w14:paraId="2CC6AD7C" w14:textId="549FD351" w:rsidR="00455429" w:rsidRPr="005D4B7D" w:rsidRDefault="00455429" w:rsidP="00455429">
      <w:pPr>
        <w:rPr>
          <w:rFonts w:cstheme="minorHAnsi"/>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455429" w14:paraId="100BDBE0" w14:textId="77777777" w:rsidTr="005D4B7D">
        <w:tc>
          <w:tcPr>
            <w:tcW w:w="11160" w:type="dxa"/>
            <w:tcBorders>
              <w:bottom w:val="single" w:sz="18" w:space="0" w:color="007DC7"/>
            </w:tcBorders>
          </w:tcPr>
          <w:p w14:paraId="3626F82E" w14:textId="1198DCC4" w:rsidR="00455429" w:rsidRPr="00631BDF" w:rsidRDefault="00455429" w:rsidP="00455429">
            <w:pPr>
              <w:rPr>
                <w:color w:val="007DC7"/>
                <w:sz w:val="24"/>
                <w:szCs w:val="24"/>
              </w:rPr>
            </w:pPr>
            <w:bookmarkStart w:id="2" w:name="_Hlk87446087"/>
            <w:r w:rsidRPr="005D4B7D">
              <w:rPr>
                <w:rFonts w:cstheme="minorHAnsi"/>
                <w:b/>
                <w:bCs/>
                <w:sz w:val="28"/>
                <w:szCs w:val="28"/>
              </w:rPr>
              <w:t>LEGISLATION SUMMARY</w:t>
            </w:r>
          </w:p>
        </w:tc>
      </w:tr>
    </w:tbl>
    <w:bookmarkEnd w:id="2"/>
    <w:p w14:paraId="1CB2E140" w14:textId="2E2B7C76" w:rsidR="00455429" w:rsidRDefault="00455429" w:rsidP="00455429">
      <w:pPr>
        <w:pStyle w:val="NoSpacing"/>
      </w:pPr>
      <w:r>
        <w:br/>
      </w:r>
    </w:p>
    <w:p w14:paraId="7E61EA79" w14:textId="06FC4003" w:rsidR="00455429" w:rsidRDefault="00455429" w:rsidP="00455429">
      <w:pPr>
        <w:pStyle w:val="NoSpacing"/>
        <w:rPr>
          <w:b/>
          <w:bCs/>
        </w:rPr>
      </w:pPr>
      <w:r w:rsidRPr="00455429">
        <w:rPr>
          <w:b/>
          <w:bCs/>
        </w:rPr>
        <w:t>IC</w:t>
      </w:r>
      <w:r>
        <w:rPr>
          <w:b/>
          <w:bCs/>
        </w:rPr>
        <w:t xml:space="preserve"> Title </w:t>
      </w:r>
      <w:r w:rsidRPr="00455429">
        <w:rPr>
          <w:b/>
          <w:bCs/>
        </w:rPr>
        <w:t>67</w:t>
      </w:r>
      <w:r>
        <w:rPr>
          <w:b/>
          <w:bCs/>
        </w:rPr>
        <w:t xml:space="preserve"> Chapter </w:t>
      </w:r>
      <w:r w:rsidRPr="00455429">
        <w:rPr>
          <w:b/>
          <w:bCs/>
        </w:rPr>
        <w:t>53</w:t>
      </w:r>
      <w:r>
        <w:rPr>
          <w:b/>
          <w:bCs/>
        </w:rPr>
        <w:t xml:space="preserve"> / Personnel System</w:t>
      </w:r>
      <w:r w:rsidR="00675F9F">
        <w:rPr>
          <w:b/>
          <w:bCs/>
        </w:rPr>
        <w:tab/>
      </w:r>
      <w:r w:rsidR="00675F9F">
        <w:rPr>
          <w:b/>
          <w:bCs/>
        </w:rPr>
        <w:tab/>
      </w:r>
      <w:r w:rsidR="00675F9F">
        <w:rPr>
          <w:b/>
          <w:bCs/>
        </w:rPr>
        <w:tab/>
      </w:r>
      <w:r w:rsidR="00675F9F">
        <w:rPr>
          <w:b/>
          <w:bCs/>
        </w:rPr>
        <w:tab/>
      </w:r>
      <w:r w:rsidR="00675F9F">
        <w:rPr>
          <w:b/>
          <w:bCs/>
        </w:rPr>
        <w:tab/>
      </w:r>
      <w:r w:rsidR="00675F9F">
        <w:rPr>
          <w:b/>
          <w:bCs/>
        </w:rPr>
        <w:tab/>
      </w:r>
      <w:r w:rsidR="00675F9F">
        <w:rPr>
          <w:b/>
          <w:bCs/>
        </w:rPr>
        <w:tab/>
        <w:t xml:space="preserve">          RS29947</w:t>
      </w:r>
    </w:p>
    <w:p w14:paraId="24B75761" w14:textId="289FF34A" w:rsidR="00CD70FE" w:rsidRPr="00455429" w:rsidRDefault="00CD70FE" w:rsidP="00455429">
      <w:pPr>
        <w:pStyle w:val="NoSpacing"/>
        <w:rPr>
          <w:b/>
          <w:bCs/>
        </w:rPr>
      </w:pPr>
      <w:r w:rsidRPr="00455429">
        <w:rPr>
          <w:b/>
          <w:bCs/>
        </w:rPr>
        <w:t>IC</w:t>
      </w:r>
      <w:r>
        <w:rPr>
          <w:b/>
          <w:bCs/>
        </w:rPr>
        <w:t xml:space="preserve"> Title</w:t>
      </w:r>
      <w:r w:rsidRPr="00455429">
        <w:rPr>
          <w:b/>
          <w:bCs/>
        </w:rPr>
        <w:t xml:space="preserve"> 59</w:t>
      </w:r>
      <w:r>
        <w:rPr>
          <w:b/>
          <w:bCs/>
        </w:rPr>
        <w:t xml:space="preserve"> Chapter </w:t>
      </w:r>
      <w:r w:rsidRPr="00455429">
        <w:rPr>
          <w:b/>
          <w:bCs/>
        </w:rPr>
        <w:t>16</w:t>
      </w:r>
      <w:r>
        <w:rPr>
          <w:b/>
          <w:bCs/>
        </w:rPr>
        <w:t xml:space="preserve"> / Non-Classified State Officers and Employees</w:t>
      </w:r>
    </w:p>
    <w:p w14:paraId="0D6D1F84" w14:textId="1DE6372F" w:rsidR="00455429" w:rsidRDefault="00455429" w:rsidP="00455429">
      <w:pPr>
        <w:pStyle w:val="NoSpacing"/>
      </w:pPr>
      <w:r w:rsidRPr="00455429">
        <w:t xml:space="preserve">Numerous statute revisions </w:t>
      </w:r>
      <w:r w:rsidR="00CD70FE">
        <w:t xml:space="preserve">removing outdated language and </w:t>
      </w:r>
      <w:r w:rsidRPr="00455429">
        <w:t>clarifying rule applicability</w:t>
      </w:r>
      <w:r w:rsidR="00890429">
        <w:t xml:space="preserve"> and requirements for state employees</w:t>
      </w:r>
      <w:r w:rsidRPr="00455429">
        <w:t>. IC 67-530</w:t>
      </w:r>
      <w:r w:rsidR="00CD70FE">
        <w:t>2 and 67-5303</w:t>
      </w:r>
      <w:r w:rsidRPr="00455429">
        <w:t xml:space="preserve"> </w:t>
      </w:r>
      <w:r w:rsidR="00CD70FE">
        <w:t xml:space="preserve">simplify </w:t>
      </w:r>
      <w:r w:rsidR="00890429">
        <w:t xml:space="preserve">definitions and </w:t>
      </w:r>
      <w:r w:rsidR="00CD70FE">
        <w:t xml:space="preserve">language for application. IC 67-5309 </w:t>
      </w:r>
      <w:r w:rsidR="00D5703E">
        <w:t>updates</w:t>
      </w:r>
      <w:r w:rsidR="00890429">
        <w:t xml:space="preserve"> language to match best practices </w:t>
      </w:r>
      <w:r w:rsidR="0017387B">
        <w:t>for</w:t>
      </w:r>
      <w:r w:rsidR="00890429">
        <w:t xml:space="preserve"> </w:t>
      </w:r>
      <w:r w:rsidR="0017387B">
        <w:t xml:space="preserve">statewide </w:t>
      </w:r>
      <w:r w:rsidR="00890429">
        <w:t>recruitment</w:t>
      </w:r>
      <w:r w:rsidRPr="00455429">
        <w:t>. IC 67-53</w:t>
      </w:r>
      <w:r w:rsidR="0017387B">
        <w:t>28, IC 67-5333 and IC 59-1607 remove outdated language that is no</w:t>
      </w:r>
      <w:r w:rsidRPr="00455429">
        <w:t xml:space="preserve"> longer applicable.</w:t>
      </w:r>
    </w:p>
    <w:p w14:paraId="40D2B6C2" w14:textId="6EBA0F42" w:rsidR="00CD70FE" w:rsidRDefault="00CD70FE" w:rsidP="00455429">
      <w:pPr>
        <w:pStyle w:val="NoSpacing"/>
      </w:pPr>
    </w:p>
    <w:p w14:paraId="58464C95" w14:textId="2DBFDE04" w:rsidR="00675F9F" w:rsidRDefault="00CD70FE" w:rsidP="00CD70FE">
      <w:pPr>
        <w:pStyle w:val="NoSpacing"/>
        <w:rPr>
          <w:b/>
          <w:bCs/>
        </w:rPr>
      </w:pPr>
      <w:r w:rsidRPr="00455429">
        <w:rPr>
          <w:b/>
          <w:bCs/>
        </w:rPr>
        <w:t xml:space="preserve">IC </w:t>
      </w:r>
      <w:r>
        <w:rPr>
          <w:b/>
          <w:bCs/>
        </w:rPr>
        <w:t xml:space="preserve">Title </w:t>
      </w:r>
      <w:r w:rsidRPr="00455429">
        <w:rPr>
          <w:b/>
          <w:bCs/>
        </w:rPr>
        <w:t>67</w:t>
      </w:r>
      <w:r>
        <w:rPr>
          <w:b/>
          <w:bCs/>
        </w:rPr>
        <w:t xml:space="preserve"> Chapter </w:t>
      </w:r>
      <w:r w:rsidRPr="00455429">
        <w:rPr>
          <w:b/>
          <w:bCs/>
        </w:rPr>
        <w:t>53</w:t>
      </w:r>
      <w:r w:rsidR="00675F9F">
        <w:rPr>
          <w:b/>
          <w:bCs/>
        </w:rPr>
        <w:t>09 (B) and (D)</w:t>
      </w:r>
      <w:r>
        <w:rPr>
          <w:b/>
          <w:bCs/>
        </w:rPr>
        <w:t xml:space="preserve"> / </w:t>
      </w:r>
      <w:r w:rsidR="00675F9F">
        <w:rPr>
          <w:b/>
          <w:bCs/>
        </w:rPr>
        <w:t>Idaho Compensation Plan</w:t>
      </w:r>
      <w:r w:rsidR="00675F9F">
        <w:rPr>
          <w:b/>
          <w:bCs/>
        </w:rPr>
        <w:tab/>
      </w:r>
      <w:r w:rsidR="00675F9F">
        <w:rPr>
          <w:b/>
          <w:bCs/>
        </w:rPr>
        <w:tab/>
        <w:t xml:space="preserve">              </w:t>
      </w:r>
      <w:r w:rsidR="00675F9F">
        <w:rPr>
          <w:b/>
          <w:bCs/>
        </w:rPr>
        <w:tab/>
      </w:r>
      <w:r w:rsidR="00675F9F">
        <w:rPr>
          <w:b/>
          <w:bCs/>
        </w:rPr>
        <w:tab/>
      </w:r>
      <w:r w:rsidR="00675F9F">
        <w:rPr>
          <w:b/>
          <w:bCs/>
        </w:rPr>
        <w:tab/>
        <w:t xml:space="preserve">          RS29920</w:t>
      </w:r>
    </w:p>
    <w:p w14:paraId="3C736214" w14:textId="16305C01" w:rsidR="00675F9F" w:rsidRPr="00455429" w:rsidRDefault="00675F9F" w:rsidP="00CD70FE">
      <w:pPr>
        <w:pStyle w:val="NoSpacing"/>
        <w:rPr>
          <w:b/>
          <w:bCs/>
        </w:rPr>
      </w:pPr>
      <w:r w:rsidRPr="00455429">
        <w:rPr>
          <w:b/>
          <w:bCs/>
        </w:rPr>
        <w:t>IC</w:t>
      </w:r>
      <w:r>
        <w:rPr>
          <w:b/>
          <w:bCs/>
        </w:rPr>
        <w:t xml:space="preserve"> Title</w:t>
      </w:r>
      <w:r w:rsidRPr="00455429">
        <w:rPr>
          <w:b/>
          <w:bCs/>
        </w:rPr>
        <w:t xml:space="preserve"> 59</w:t>
      </w:r>
      <w:r>
        <w:rPr>
          <w:b/>
          <w:bCs/>
        </w:rPr>
        <w:t xml:space="preserve"> Chapter </w:t>
      </w:r>
      <w:r w:rsidRPr="00455429">
        <w:rPr>
          <w:b/>
          <w:bCs/>
        </w:rPr>
        <w:t>16</w:t>
      </w:r>
      <w:r>
        <w:rPr>
          <w:b/>
          <w:bCs/>
        </w:rPr>
        <w:t>03 / Conformity with Classified Positions</w:t>
      </w:r>
    </w:p>
    <w:p w14:paraId="7E4E64A3" w14:textId="6DC80AE8" w:rsidR="00CD70FE" w:rsidRPr="00455429" w:rsidRDefault="000D00D5" w:rsidP="00CD70FE">
      <w:pPr>
        <w:pStyle w:val="NoSpacing"/>
      </w:pPr>
      <w:r>
        <w:t>Provides clarification and flexibility within established compensation practices. IC 67-5309</w:t>
      </w:r>
      <w:r w:rsidR="00BB0B51">
        <w:t>B</w:t>
      </w:r>
      <w:r>
        <w:t xml:space="preserve"> </w:t>
      </w:r>
      <w:r w:rsidR="00BB0B51">
        <w:t xml:space="preserve">specifies which compensation increases require performance to be a factor. IC 67-5309D and IC 59-1603 specify which employee bonuses require performance to be a factor. The intended flexibility will allow agency heads to recruit and retain state employees more effectively. </w:t>
      </w:r>
      <w:r w:rsidR="00CD70FE" w:rsidRPr="00455429">
        <w:t>Funding will be based on an agency’s appropriation so there is no fiscal impact with this change.</w:t>
      </w:r>
    </w:p>
    <w:p w14:paraId="07351171" w14:textId="77777777" w:rsidR="00455429" w:rsidRDefault="00455429" w:rsidP="00455429">
      <w:pPr>
        <w:pStyle w:val="NoSpacing"/>
      </w:pPr>
    </w:p>
    <w:p w14:paraId="141D7E32" w14:textId="273EBF6D" w:rsidR="00D956A0" w:rsidRPr="00455429" w:rsidRDefault="00D956A0" w:rsidP="00D956A0">
      <w:pPr>
        <w:pStyle w:val="NoSpacing"/>
        <w:rPr>
          <w:b/>
          <w:bCs/>
        </w:rPr>
      </w:pPr>
      <w:r w:rsidRPr="00455429">
        <w:rPr>
          <w:b/>
          <w:bCs/>
        </w:rPr>
        <w:t>IC</w:t>
      </w:r>
      <w:r>
        <w:rPr>
          <w:b/>
          <w:bCs/>
        </w:rPr>
        <w:t xml:space="preserve"> Title</w:t>
      </w:r>
      <w:r w:rsidRPr="00455429">
        <w:rPr>
          <w:b/>
          <w:bCs/>
        </w:rPr>
        <w:t xml:space="preserve"> </w:t>
      </w:r>
      <w:r>
        <w:rPr>
          <w:b/>
          <w:bCs/>
        </w:rPr>
        <w:t>54 Chapter 1716 / Employees</w:t>
      </w:r>
      <w:r>
        <w:rPr>
          <w:b/>
          <w:bCs/>
        </w:rPr>
        <w:tab/>
      </w:r>
      <w:r>
        <w:rPr>
          <w:b/>
          <w:bCs/>
        </w:rPr>
        <w:tab/>
        <w:t xml:space="preserve">  </w:t>
      </w:r>
      <w:r>
        <w:rPr>
          <w:b/>
          <w:bCs/>
        </w:rPr>
        <w:tab/>
      </w:r>
      <w:r>
        <w:rPr>
          <w:b/>
          <w:bCs/>
        </w:rPr>
        <w:tab/>
      </w:r>
      <w:r>
        <w:rPr>
          <w:b/>
          <w:bCs/>
        </w:rPr>
        <w:tab/>
      </w:r>
      <w:r>
        <w:rPr>
          <w:b/>
          <w:bCs/>
        </w:rPr>
        <w:tab/>
      </w:r>
      <w:r>
        <w:rPr>
          <w:b/>
          <w:bCs/>
        </w:rPr>
        <w:tab/>
        <w:t xml:space="preserve">                        RS29955</w:t>
      </w:r>
    </w:p>
    <w:p w14:paraId="15EE3D3B" w14:textId="692B86E6" w:rsidR="00D956A0" w:rsidRDefault="00D956A0" w:rsidP="00455429">
      <w:pPr>
        <w:pStyle w:val="NoSpacing"/>
        <w:rPr>
          <w:b/>
          <w:bCs/>
        </w:rPr>
      </w:pPr>
      <w:r w:rsidRPr="00455429">
        <w:rPr>
          <w:b/>
          <w:bCs/>
        </w:rPr>
        <w:t>IC</w:t>
      </w:r>
      <w:r>
        <w:rPr>
          <w:b/>
          <w:bCs/>
        </w:rPr>
        <w:t xml:space="preserve"> Title</w:t>
      </w:r>
      <w:r w:rsidRPr="00455429">
        <w:rPr>
          <w:b/>
          <w:bCs/>
        </w:rPr>
        <w:t xml:space="preserve"> </w:t>
      </w:r>
      <w:r>
        <w:rPr>
          <w:b/>
          <w:bCs/>
        </w:rPr>
        <w:t>67 Chapters 3519, 5307 / Employee Positions / Organization of Commission</w:t>
      </w:r>
    </w:p>
    <w:p w14:paraId="44E8C88C" w14:textId="353D3ACE" w:rsidR="00D956A0" w:rsidRPr="00D956A0" w:rsidRDefault="00D956A0" w:rsidP="00455429">
      <w:pPr>
        <w:pStyle w:val="NoSpacing"/>
      </w:pPr>
      <w:r>
        <w:t>Updates agency name to the “Division of Human Resources” from the outdated agency name “Idaho Personnel Commission.” Additionally removes</w:t>
      </w:r>
      <w:r w:rsidRPr="00D956A0">
        <w:t xml:space="preserve"> code </w:t>
      </w:r>
      <w:r>
        <w:t>related to</w:t>
      </w:r>
      <w:r w:rsidRPr="00D956A0">
        <w:t xml:space="preserve"> aggrieved action</w:t>
      </w:r>
      <w:r>
        <w:t>s</w:t>
      </w:r>
      <w:r w:rsidRPr="00D956A0">
        <w:t xml:space="preserve"> or inaction</w:t>
      </w:r>
      <w:r>
        <w:t>s</w:t>
      </w:r>
      <w:r w:rsidRPr="00D956A0">
        <w:t xml:space="preserve"> by an agency </w:t>
      </w:r>
      <w:r>
        <w:t>due to creation of t</w:t>
      </w:r>
      <w:r w:rsidRPr="00D956A0">
        <w:t xml:space="preserve">he Office of Administrative Hearings. </w:t>
      </w:r>
    </w:p>
    <w:p w14:paraId="6963D91F" w14:textId="7639F968" w:rsidR="00D956A0" w:rsidRDefault="00D956A0" w:rsidP="00455429">
      <w:pPr>
        <w:pStyle w:val="NoSpacing"/>
        <w:rPr>
          <w:b/>
          <w:bCs/>
        </w:rPr>
      </w:pPr>
    </w:p>
    <w:p w14:paraId="1AF22CF3" w14:textId="16BE6F1E" w:rsidR="005F384B" w:rsidRPr="00455429" w:rsidRDefault="005F384B" w:rsidP="005F384B">
      <w:pPr>
        <w:pStyle w:val="NoSpacing"/>
        <w:rPr>
          <w:b/>
          <w:bCs/>
        </w:rPr>
      </w:pPr>
      <w:r w:rsidRPr="00455429">
        <w:rPr>
          <w:b/>
          <w:bCs/>
        </w:rPr>
        <w:t>IC</w:t>
      </w:r>
      <w:r>
        <w:rPr>
          <w:b/>
          <w:bCs/>
        </w:rPr>
        <w:t xml:space="preserve"> Title </w:t>
      </w:r>
      <w:r w:rsidRPr="00455429">
        <w:rPr>
          <w:b/>
          <w:bCs/>
        </w:rPr>
        <w:t>67</w:t>
      </w:r>
      <w:r>
        <w:rPr>
          <w:b/>
          <w:bCs/>
        </w:rPr>
        <w:t xml:space="preserve"> Chapter </w:t>
      </w:r>
      <w:r w:rsidRPr="00455429">
        <w:rPr>
          <w:b/>
          <w:bCs/>
        </w:rPr>
        <w:t>53</w:t>
      </w:r>
      <w:r>
        <w:rPr>
          <w:b/>
          <w:bCs/>
        </w:rPr>
        <w:t>02 / Personnel System Definitions</w:t>
      </w:r>
      <w:r>
        <w:rPr>
          <w:b/>
          <w:bCs/>
        </w:rPr>
        <w:tab/>
      </w:r>
      <w:r>
        <w:rPr>
          <w:b/>
          <w:bCs/>
        </w:rPr>
        <w:tab/>
      </w:r>
      <w:r>
        <w:rPr>
          <w:b/>
          <w:bCs/>
        </w:rPr>
        <w:tab/>
      </w:r>
      <w:r>
        <w:rPr>
          <w:b/>
          <w:bCs/>
        </w:rPr>
        <w:tab/>
        <w:t xml:space="preserve">                        RS299</w:t>
      </w:r>
      <w:r w:rsidR="001735A7">
        <w:rPr>
          <w:b/>
          <w:bCs/>
        </w:rPr>
        <w:t>49</w:t>
      </w:r>
    </w:p>
    <w:p w14:paraId="292210FB" w14:textId="167010E0" w:rsidR="005F384B" w:rsidRPr="001735A7" w:rsidRDefault="001735A7" w:rsidP="00455429">
      <w:pPr>
        <w:pStyle w:val="NoSpacing"/>
      </w:pPr>
      <w:r>
        <w:t xml:space="preserve">Provides an additional option for temporary employees to include approved apprenticeships. Waives the hour limit imposed on temporary employment so that agency heads may employ and train apprentices </w:t>
      </w:r>
      <w:r w:rsidR="005714E1">
        <w:t>appropriately. A</w:t>
      </w:r>
      <w:r w:rsidR="005714E1" w:rsidRPr="005714E1">
        <w:t>genc</w:t>
      </w:r>
      <w:r w:rsidR="005714E1">
        <w:t>ies</w:t>
      </w:r>
      <w:r w:rsidR="005714E1" w:rsidRPr="005714E1">
        <w:t xml:space="preserve"> wishing to employ apprentice</w:t>
      </w:r>
      <w:r w:rsidR="005714E1">
        <w:t>s</w:t>
      </w:r>
      <w:r w:rsidR="005714E1" w:rsidRPr="005714E1">
        <w:t xml:space="preserve"> must demonstrate that they have sufficient existing funding to cover expenses, thus ensuring no requests for additional funding.</w:t>
      </w:r>
    </w:p>
    <w:p w14:paraId="24F41A59" w14:textId="43A3A086" w:rsidR="005F384B" w:rsidRDefault="005F384B" w:rsidP="00455429">
      <w:pPr>
        <w:pStyle w:val="NoSpacing"/>
        <w:rPr>
          <w:b/>
          <w:bCs/>
        </w:rPr>
      </w:pPr>
    </w:p>
    <w:p w14:paraId="00B2BF63" w14:textId="3DAED417" w:rsidR="00956038" w:rsidRPr="00455429" w:rsidRDefault="00956038" w:rsidP="00956038">
      <w:pPr>
        <w:pStyle w:val="NoSpacing"/>
        <w:rPr>
          <w:b/>
          <w:bCs/>
        </w:rPr>
      </w:pPr>
      <w:r w:rsidRPr="00455429">
        <w:rPr>
          <w:b/>
          <w:bCs/>
        </w:rPr>
        <w:t>IC</w:t>
      </w:r>
      <w:r>
        <w:rPr>
          <w:b/>
          <w:bCs/>
        </w:rPr>
        <w:t xml:space="preserve"> Title </w:t>
      </w:r>
      <w:r w:rsidRPr="00455429">
        <w:rPr>
          <w:b/>
          <w:bCs/>
        </w:rPr>
        <w:t>67</w:t>
      </w:r>
      <w:r>
        <w:rPr>
          <w:b/>
          <w:bCs/>
        </w:rPr>
        <w:t xml:space="preserve"> Chapter </w:t>
      </w:r>
      <w:r w:rsidRPr="00455429">
        <w:rPr>
          <w:b/>
          <w:bCs/>
        </w:rPr>
        <w:t>53</w:t>
      </w:r>
      <w:r>
        <w:rPr>
          <w:b/>
          <w:bCs/>
        </w:rPr>
        <w:t>02 / Personnel System Definitions</w:t>
      </w:r>
      <w:r>
        <w:rPr>
          <w:b/>
          <w:bCs/>
        </w:rPr>
        <w:tab/>
      </w:r>
      <w:r>
        <w:rPr>
          <w:b/>
          <w:bCs/>
        </w:rPr>
        <w:tab/>
      </w:r>
      <w:r>
        <w:rPr>
          <w:b/>
          <w:bCs/>
        </w:rPr>
        <w:tab/>
      </w:r>
      <w:r>
        <w:rPr>
          <w:b/>
          <w:bCs/>
        </w:rPr>
        <w:tab/>
        <w:t xml:space="preserve">                        RS29957</w:t>
      </w:r>
    </w:p>
    <w:p w14:paraId="77520680" w14:textId="1393576D" w:rsidR="005F384B" w:rsidRDefault="00D013C1" w:rsidP="00455429">
      <w:pPr>
        <w:pStyle w:val="NoSpacing"/>
      </w:pPr>
      <w:r>
        <w:t xml:space="preserve">Provides an additional option for overtime calculation. Certain employees who meet federal exemption requirements, upon designation from the administrator, may have overtime calculated for time worked in excess of 80 hours in a pay period of 14 consecutive days. Employees not designated as such will continue to have overtime calculated for time worked in excess of 40 hours in a period of 168 consecutive hours. Employees </w:t>
      </w:r>
      <w:r w:rsidRPr="00D013C1">
        <w:t>exempt from overtime under the F</w:t>
      </w:r>
      <w:r w:rsidR="00D5703E">
        <w:t xml:space="preserve">air </w:t>
      </w:r>
      <w:r w:rsidRPr="00D013C1">
        <w:t>L</w:t>
      </w:r>
      <w:r w:rsidR="00D5703E">
        <w:t xml:space="preserve">abor </w:t>
      </w:r>
      <w:r w:rsidRPr="00D013C1">
        <w:t>S</w:t>
      </w:r>
      <w:r w:rsidR="00D5703E">
        <w:t xml:space="preserve">tandards </w:t>
      </w:r>
      <w:r w:rsidRPr="00D013C1">
        <w:t>A</w:t>
      </w:r>
      <w:r w:rsidR="00D5703E">
        <w:t>ct</w:t>
      </w:r>
      <w:r w:rsidRPr="00D013C1">
        <w:t xml:space="preserve"> do not receive cash for overtime</w:t>
      </w:r>
      <w:r w:rsidR="004649B1">
        <w:t>, thus</w:t>
      </w:r>
      <w:r>
        <w:t xml:space="preserve"> there is no fiscal impact.</w:t>
      </w:r>
    </w:p>
    <w:p w14:paraId="285EB805" w14:textId="77777777" w:rsidR="00D013C1" w:rsidRDefault="00D013C1" w:rsidP="00455429">
      <w:pPr>
        <w:pStyle w:val="NoSpacing"/>
        <w:rPr>
          <w:b/>
          <w:bCs/>
        </w:rPr>
      </w:pPr>
    </w:p>
    <w:bookmarkEnd w:id="1"/>
    <w:sectPr w:rsidR="00D013C1" w:rsidSect="00455429">
      <w:footerReference w:type="default" r:id="rId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D714" w14:textId="77777777" w:rsidR="008C2459" w:rsidRDefault="008C2459" w:rsidP="00CE6755">
      <w:pPr>
        <w:spacing w:after="0" w:line="240" w:lineRule="auto"/>
      </w:pPr>
      <w:r>
        <w:separator/>
      </w:r>
    </w:p>
  </w:endnote>
  <w:endnote w:type="continuationSeparator" w:id="0">
    <w:p w14:paraId="7A102877" w14:textId="77777777" w:rsidR="008C2459" w:rsidRDefault="008C2459" w:rsidP="00CE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01DE" w14:textId="187C0F86" w:rsidR="00CE6755" w:rsidRDefault="00B16C48">
    <w:pPr>
      <w:pStyle w:val="Footer"/>
    </w:pPr>
    <w:r>
      <w:rPr>
        <w:noProof/>
      </w:rPr>
      <mc:AlternateContent>
        <mc:Choice Requires="wps">
          <w:drawing>
            <wp:anchor distT="0" distB="0" distL="114300" distR="114300" simplePos="0" relativeHeight="251659264" behindDoc="0" locked="0" layoutInCell="1" allowOverlap="1" wp14:anchorId="38F0804A" wp14:editId="6A6C4A37">
              <wp:simplePos x="0" y="0"/>
              <wp:positionH relativeFrom="page">
                <wp:align>left</wp:align>
              </wp:positionH>
              <wp:positionV relativeFrom="paragraph">
                <wp:posOffset>-78105</wp:posOffset>
              </wp:positionV>
              <wp:extent cx="7806055" cy="1632585"/>
              <wp:effectExtent l="0" t="0" r="4445" b="5715"/>
              <wp:wrapNone/>
              <wp:docPr id="2" name="Rectangle 2"/>
              <wp:cNvGraphicFramePr/>
              <a:graphic xmlns:a="http://schemas.openxmlformats.org/drawingml/2006/main">
                <a:graphicData uri="http://schemas.microsoft.com/office/word/2010/wordprocessingShape">
                  <wps:wsp>
                    <wps:cNvSpPr/>
                    <wps:spPr>
                      <a:xfrm>
                        <a:off x="0" y="0"/>
                        <a:ext cx="7806055" cy="1632585"/>
                      </a:xfrm>
                      <a:prstGeom prst="rect">
                        <a:avLst/>
                      </a:prstGeom>
                      <a:solidFill>
                        <a:srgbClr val="007DC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635FD" w14:textId="77777777" w:rsidR="00CE6755" w:rsidRDefault="00CE6755" w:rsidP="00CE67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0804A" id="Rectangle 2" o:spid="_x0000_s1026" style="position:absolute;margin-left:0;margin-top:-6.15pt;width:614.65pt;height:128.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" fillcolor="#007dc7" stroked="f" strokeweight="1pt">
              <v:textbox>
                <w:txbxContent>
                  <w:p w14:paraId="7A9635FD" w14:textId="77777777" w:rsidR="00CE6755" w:rsidRDefault="00CE6755" w:rsidP="00CE6755">
                    <w:pPr>
                      <w:jc w:val="center"/>
                    </w:pPr>
                  </w:p>
                </w:txbxContent>
              </v:textbox>
              <w10:wrap anchorx="page"/>
            </v:rect>
          </w:pict>
        </mc:Fallback>
      </mc:AlternateContent>
    </w:r>
    <w:r w:rsidR="00631BDF">
      <w:rPr>
        <w:noProof/>
      </w:rPr>
      <w:drawing>
        <wp:anchor distT="0" distB="0" distL="114300" distR="114300" simplePos="0" relativeHeight="251661312" behindDoc="0" locked="0" layoutInCell="1" allowOverlap="1" wp14:anchorId="5B564E4B" wp14:editId="43CD72B7">
          <wp:simplePos x="0" y="0"/>
          <wp:positionH relativeFrom="margin">
            <wp:align>right</wp:align>
          </wp:positionH>
          <wp:positionV relativeFrom="paragraph">
            <wp:posOffset>13970</wp:posOffset>
          </wp:positionV>
          <wp:extent cx="2743200" cy="401211"/>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Lst>
                  </a:blip>
                  <a:stretch>
                    <a:fillRect/>
                  </a:stretch>
                </pic:blipFill>
                <pic:spPr>
                  <a:xfrm>
                    <a:off x="0" y="0"/>
                    <a:ext cx="2743200" cy="401211"/>
                  </a:xfrm>
                  <a:prstGeom prst="rect">
                    <a:avLst/>
                  </a:prstGeom>
                </pic:spPr>
              </pic:pic>
            </a:graphicData>
          </a:graphic>
          <wp14:sizeRelH relativeFrom="page">
            <wp14:pctWidth>0</wp14:pctWidth>
          </wp14:sizeRelH>
          <wp14:sizeRelV relativeFrom="page">
            <wp14:pctHeight>0</wp14:pctHeight>
          </wp14:sizeRelV>
        </wp:anchor>
      </w:drawing>
    </w:r>
    <w:r w:rsidR="00CE6755">
      <w:t xml:space="preserve"> </w:t>
    </w:r>
  </w:p>
  <w:p w14:paraId="7C140667" w14:textId="77777777" w:rsidR="00CE6755" w:rsidRDefault="00CE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53E83" w14:textId="77777777" w:rsidR="008C2459" w:rsidRDefault="008C2459" w:rsidP="00CE6755">
      <w:pPr>
        <w:spacing w:after="0" w:line="240" w:lineRule="auto"/>
      </w:pPr>
      <w:r>
        <w:separator/>
      </w:r>
    </w:p>
  </w:footnote>
  <w:footnote w:type="continuationSeparator" w:id="0">
    <w:p w14:paraId="61894F4E" w14:textId="77777777" w:rsidR="008C2459" w:rsidRDefault="008C2459" w:rsidP="00CE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529"/>
    <w:multiLevelType w:val="hybridMultilevel"/>
    <w:tmpl w:val="50426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36178A"/>
    <w:multiLevelType w:val="hybridMultilevel"/>
    <w:tmpl w:val="5D8A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F0460"/>
    <w:multiLevelType w:val="hybridMultilevel"/>
    <w:tmpl w:val="DCFE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B33D8"/>
    <w:multiLevelType w:val="hybridMultilevel"/>
    <w:tmpl w:val="F72CE190"/>
    <w:lvl w:ilvl="0" w:tplc="F2DA4BB8">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27C86"/>
    <w:multiLevelType w:val="hybridMultilevel"/>
    <w:tmpl w:val="09567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1953BC"/>
    <w:multiLevelType w:val="hybridMultilevel"/>
    <w:tmpl w:val="39803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B7C32C5"/>
    <w:multiLevelType w:val="hybridMultilevel"/>
    <w:tmpl w:val="F136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B173C"/>
    <w:multiLevelType w:val="hybridMultilevel"/>
    <w:tmpl w:val="07C8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795876">
    <w:abstractNumId w:val="0"/>
  </w:num>
  <w:num w:numId="2" w16cid:durableId="1982231265">
    <w:abstractNumId w:val="5"/>
  </w:num>
  <w:num w:numId="3" w16cid:durableId="1372339335">
    <w:abstractNumId w:val="4"/>
  </w:num>
  <w:num w:numId="4" w16cid:durableId="1922176686">
    <w:abstractNumId w:val="7"/>
  </w:num>
  <w:num w:numId="5" w16cid:durableId="1908955768">
    <w:abstractNumId w:val="3"/>
  </w:num>
  <w:num w:numId="6" w16cid:durableId="1790591684">
    <w:abstractNumId w:val="2"/>
  </w:num>
  <w:num w:numId="7" w16cid:durableId="353071815">
    <w:abstractNumId w:val="6"/>
  </w:num>
  <w:num w:numId="8" w16cid:durableId="324936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AC"/>
    <w:rsid w:val="000B2242"/>
    <w:rsid w:val="000D00D5"/>
    <w:rsid w:val="000D074E"/>
    <w:rsid w:val="000E0AEA"/>
    <w:rsid w:val="000E1C04"/>
    <w:rsid w:val="001429AC"/>
    <w:rsid w:val="00145EEF"/>
    <w:rsid w:val="00147956"/>
    <w:rsid w:val="001735A7"/>
    <w:rsid w:val="0017387B"/>
    <w:rsid w:val="00187800"/>
    <w:rsid w:val="001B286A"/>
    <w:rsid w:val="001D0FE1"/>
    <w:rsid w:val="0024689E"/>
    <w:rsid w:val="00255362"/>
    <w:rsid w:val="00293D1E"/>
    <w:rsid w:val="002B6C83"/>
    <w:rsid w:val="002F654C"/>
    <w:rsid w:val="003B15E9"/>
    <w:rsid w:val="003C043B"/>
    <w:rsid w:val="00406DCB"/>
    <w:rsid w:val="0042066C"/>
    <w:rsid w:val="00455429"/>
    <w:rsid w:val="004649B1"/>
    <w:rsid w:val="00475560"/>
    <w:rsid w:val="00476E75"/>
    <w:rsid w:val="004F026A"/>
    <w:rsid w:val="005714E1"/>
    <w:rsid w:val="005907C1"/>
    <w:rsid w:val="005D4B7D"/>
    <w:rsid w:val="005F384B"/>
    <w:rsid w:val="00631BDF"/>
    <w:rsid w:val="00632922"/>
    <w:rsid w:val="00675F9F"/>
    <w:rsid w:val="006A6565"/>
    <w:rsid w:val="006D0FDB"/>
    <w:rsid w:val="007B2C34"/>
    <w:rsid w:val="008524D2"/>
    <w:rsid w:val="00890429"/>
    <w:rsid w:val="008C2459"/>
    <w:rsid w:val="008C6727"/>
    <w:rsid w:val="008D79A2"/>
    <w:rsid w:val="00933ECF"/>
    <w:rsid w:val="00954E6D"/>
    <w:rsid w:val="00956038"/>
    <w:rsid w:val="009717D4"/>
    <w:rsid w:val="00987F5B"/>
    <w:rsid w:val="009C64DB"/>
    <w:rsid w:val="00AC1081"/>
    <w:rsid w:val="00AE2AFB"/>
    <w:rsid w:val="00AE44DF"/>
    <w:rsid w:val="00B16C48"/>
    <w:rsid w:val="00B71DC5"/>
    <w:rsid w:val="00BB0B51"/>
    <w:rsid w:val="00C1353C"/>
    <w:rsid w:val="00C37118"/>
    <w:rsid w:val="00C3772C"/>
    <w:rsid w:val="00CB1B41"/>
    <w:rsid w:val="00CC0E2A"/>
    <w:rsid w:val="00CD70FE"/>
    <w:rsid w:val="00CE6755"/>
    <w:rsid w:val="00CF57A1"/>
    <w:rsid w:val="00D013C1"/>
    <w:rsid w:val="00D53767"/>
    <w:rsid w:val="00D53971"/>
    <w:rsid w:val="00D5703E"/>
    <w:rsid w:val="00D956A0"/>
    <w:rsid w:val="00DD107C"/>
    <w:rsid w:val="00DE514F"/>
    <w:rsid w:val="00E15361"/>
    <w:rsid w:val="00E215FC"/>
    <w:rsid w:val="00E33CF0"/>
    <w:rsid w:val="00EC0659"/>
    <w:rsid w:val="00EF613F"/>
    <w:rsid w:val="00F10BF3"/>
    <w:rsid w:val="00F8420A"/>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0C34"/>
  <w15:chartTrackingRefBased/>
  <w15:docId w15:val="{79D7D805-99BB-4625-A4A1-BD9ADB10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29AC"/>
    <w:pPr>
      <w:spacing w:after="0" w:line="240" w:lineRule="auto"/>
    </w:pPr>
  </w:style>
  <w:style w:type="paragraph" w:styleId="Header">
    <w:name w:val="header"/>
    <w:basedOn w:val="Normal"/>
    <w:link w:val="HeaderChar"/>
    <w:uiPriority w:val="99"/>
    <w:unhideWhenUsed/>
    <w:rsid w:val="00CE6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755"/>
  </w:style>
  <w:style w:type="paragraph" w:styleId="Footer">
    <w:name w:val="footer"/>
    <w:basedOn w:val="Normal"/>
    <w:link w:val="FooterChar"/>
    <w:uiPriority w:val="99"/>
    <w:unhideWhenUsed/>
    <w:rsid w:val="00CE6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55"/>
  </w:style>
  <w:style w:type="paragraph" w:styleId="ListParagraph">
    <w:name w:val="List Paragraph"/>
    <w:basedOn w:val="Normal"/>
    <w:uiPriority w:val="34"/>
    <w:qFormat/>
    <w:rsid w:val="003B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1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 Fisher</dc:creator>
  <cp:keywords/>
  <dc:description/>
  <cp:lastModifiedBy>Michelle Peugh</cp:lastModifiedBy>
  <cp:revision>14</cp:revision>
  <cp:lastPrinted>2021-12-13T15:33:00Z</cp:lastPrinted>
  <dcterms:created xsi:type="dcterms:W3CDTF">2022-12-08T15:43:00Z</dcterms:created>
  <dcterms:modified xsi:type="dcterms:W3CDTF">2022-12-08T21:48:00Z</dcterms:modified>
</cp:coreProperties>
</file>