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7B30" w14:textId="133EEF56" w:rsidR="00D5162F" w:rsidRPr="00D5162F" w:rsidRDefault="00D5162F" w:rsidP="00D5162F">
      <w:pPr>
        <w:shd w:val="clear" w:color="auto" w:fill="FFFFFF"/>
        <w:rPr>
          <w:sz w:val="24"/>
          <w:szCs w:val="24"/>
        </w:rPr>
      </w:pPr>
      <w:r w:rsidRPr="00D5162F">
        <w:rPr>
          <w:rFonts w:ascii="Segoe UI" w:hAnsi="Segoe UI" w:cs="Segoe UI"/>
          <w:b/>
          <w:bCs/>
          <w:color w:val="000000"/>
          <w:sz w:val="24"/>
          <w:szCs w:val="24"/>
        </w:rPr>
        <w:t>Sick Leave Conversion and Retirement</w:t>
      </w:r>
    </w:p>
    <w:p w14:paraId="32F6392F" w14:textId="77777777" w:rsidR="00D5162F" w:rsidRPr="00D5162F" w:rsidRDefault="00D5162F" w:rsidP="00D5162F">
      <w:pPr>
        <w:shd w:val="clear" w:color="auto" w:fill="FFFFFF"/>
        <w:rPr>
          <w:sz w:val="24"/>
          <w:szCs w:val="24"/>
        </w:rPr>
      </w:pPr>
      <w:r w:rsidRPr="00D5162F">
        <w:rPr>
          <w:rFonts w:ascii="Segoe UI" w:hAnsi="Segoe UI" w:cs="Segoe UI"/>
          <w:color w:val="323130"/>
          <w:sz w:val="24"/>
          <w:szCs w:val="24"/>
        </w:rPr>
        <w:t> </w:t>
      </w:r>
    </w:p>
    <w:p w14:paraId="2AFC9352" w14:textId="77777777" w:rsidR="00D5162F" w:rsidRPr="00D5162F" w:rsidRDefault="00D5162F" w:rsidP="00D5162F">
      <w:pPr>
        <w:pStyle w:val="NormalWeb"/>
        <w:shd w:val="clear" w:color="auto" w:fill="FFFFFF"/>
        <w:spacing w:before="0" w:beforeAutospacing="0" w:after="336" w:afterAutospacing="0" w:line="336" w:lineRule="atLeast"/>
        <w:rPr>
          <w:sz w:val="24"/>
          <w:szCs w:val="24"/>
        </w:rPr>
      </w:pPr>
      <w:r w:rsidRPr="00D5162F">
        <w:rPr>
          <w:rFonts w:ascii="Segoe UI" w:hAnsi="Segoe UI" w:cs="Segoe UI"/>
          <w:color w:val="323130"/>
          <w:sz w:val="24"/>
          <w:szCs w:val="24"/>
        </w:rPr>
        <w:t>Did you know employees can convert sick leave hours to use toward insurance premiums?</w:t>
      </w:r>
    </w:p>
    <w:p w14:paraId="36AC8310" w14:textId="77777777" w:rsidR="00D5162F" w:rsidRPr="00D5162F" w:rsidRDefault="00D5162F" w:rsidP="00D5162F">
      <w:pPr>
        <w:pStyle w:val="NormalWeb"/>
        <w:shd w:val="clear" w:color="auto" w:fill="FFFFFF"/>
        <w:spacing w:before="0" w:beforeAutospacing="0" w:after="336" w:afterAutospacing="0" w:line="336" w:lineRule="atLeast"/>
        <w:rPr>
          <w:sz w:val="24"/>
          <w:szCs w:val="24"/>
        </w:rPr>
      </w:pPr>
      <w:r w:rsidRPr="00D5162F">
        <w:rPr>
          <w:rFonts w:ascii="Segoe UI" w:hAnsi="Segoe UI" w:cs="Segoe UI"/>
          <w:color w:val="323130"/>
          <w:sz w:val="24"/>
          <w:szCs w:val="24"/>
        </w:rPr>
        <w:t>All employees, </w:t>
      </w:r>
      <w:r w:rsidRPr="00D5162F">
        <w:rPr>
          <w:rFonts w:ascii="Segoe UI" w:hAnsi="Segoe UI" w:cs="Segoe UI"/>
          <w:i/>
          <w:iCs/>
          <w:color w:val="323130"/>
          <w:sz w:val="24"/>
          <w:szCs w:val="24"/>
        </w:rPr>
        <w:t>no matter when they started with the State of Idaho</w:t>
      </w:r>
      <w:r w:rsidRPr="00D5162F">
        <w:rPr>
          <w:rFonts w:ascii="Segoe UI" w:hAnsi="Segoe UI" w:cs="Segoe UI"/>
          <w:color w:val="323130"/>
          <w:sz w:val="24"/>
          <w:szCs w:val="24"/>
        </w:rPr>
        <w:t xml:space="preserve">, </w:t>
      </w:r>
      <w:proofErr w:type="gramStart"/>
      <w:r w:rsidRPr="00D5162F">
        <w:rPr>
          <w:rFonts w:ascii="Segoe UI" w:hAnsi="Segoe UI" w:cs="Segoe UI"/>
          <w:color w:val="323130"/>
          <w:sz w:val="24"/>
          <w:szCs w:val="24"/>
        </w:rPr>
        <w:t>have the opportunity to</w:t>
      </w:r>
      <w:proofErr w:type="gramEnd"/>
      <w:r w:rsidRPr="00D5162F">
        <w:rPr>
          <w:rFonts w:ascii="Segoe UI" w:hAnsi="Segoe UI" w:cs="Segoe UI"/>
          <w:color w:val="323130"/>
          <w:sz w:val="24"/>
          <w:szCs w:val="24"/>
        </w:rPr>
        <w:t xml:space="preserve"> convert their accrued sick leave hours to dollars to use towards eligible insurance premiums upon retirement.</w:t>
      </w:r>
    </w:p>
    <w:p w14:paraId="132CC13A" w14:textId="77777777" w:rsidR="00D5162F" w:rsidRPr="00D5162F" w:rsidRDefault="00D5162F" w:rsidP="00D5162F">
      <w:pPr>
        <w:pStyle w:val="NormalWeb"/>
        <w:shd w:val="clear" w:color="auto" w:fill="FFFFFF"/>
        <w:spacing w:before="0" w:beforeAutospacing="0" w:after="336" w:afterAutospacing="0" w:line="336" w:lineRule="atLeast"/>
        <w:rPr>
          <w:sz w:val="24"/>
          <w:szCs w:val="24"/>
        </w:rPr>
      </w:pPr>
      <w:r w:rsidRPr="00D5162F">
        <w:rPr>
          <w:rFonts w:ascii="Segoe UI" w:hAnsi="Segoe UI" w:cs="Segoe UI"/>
          <w:b/>
          <w:bCs/>
          <w:color w:val="323130"/>
          <w:sz w:val="24"/>
          <w:szCs w:val="24"/>
        </w:rPr>
        <w:t>How much of my sick leave can I convert to dollars?</w:t>
      </w:r>
      <w:r w:rsidRPr="00D5162F">
        <w:rPr>
          <w:rFonts w:ascii="Segoe UI" w:hAnsi="Segoe UI" w:cs="Segoe UI"/>
          <w:color w:val="323130"/>
          <w:sz w:val="24"/>
          <w:szCs w:val="24"/>
        </w:rPr>
        <w:br/>
      </w:r>
      <w:hyperlink r:id="rId4" w:history="1">
        <w:r w:rsidRPr="00D5162F">
          <w:rPr>
            <w:rStyle w:val="Hyperlink"/>
            <w:rFonts w:ascii="Segoe UI" w:hAnsi="Segoe UI" w:cs="Segoe UI"/>
            <w:color w:val="0078D4"/>
            <w:sz w:val="24"/>
            <w:szCs w:val="24"/>
          </w:rPr>
          <w:t>Idaho Code 67-5333</w:t>
        </w:r>
      </w:hyperlink>
      <w:r w:rsidRPr="00D5162F">
        <w:rPr>
          <w:rFonts w:ascii="Segoe UI" w:hAnsi="Segoe UI" w:cs="Segoe UI"/>
          <w:color w:val="323130"/>
          <w:sz w:val="24"/>
          <w:szCs w:val="24"/>
        </w:rPr>
        <w:t> allows eligible retirees of the State of Idaho, school districts, and charter schools, to convert up to </w:t>
      </w:r>
      <w:r w:rsidRPr="00D5162F">
        <w:rPr>
          <w:rFonts w:ascii="Segoe UI" w:hAnsi="Segoe UI" w:cs="Segoe UI"/>
          <w:b/>
          <w:bCs/>
          <w:color w:val="323130"/>
          <w:sz w:val="24"/>
          <w:szCs w:val="24"/>
        </w:rPr>
        <w:t>half</w:t>
      </w:r>
      <w:r w:rsidRPr="00D5162F">
        <w:rPr>
          <w:rFonts w:ascii="Segoe UI" w:hAnsi="Segoe UI" w:cs="Segoe UI"/>
          <w:color w:val="323130"/>
          <w:sz w:val="24"/>
          <w:szCs w:val="24"/>
        </w:rPr>
        <w:t> of their unused sick leave to a sick leave account that can be used to pay qualifying insurance premiums.</w:t>
      </w:r>
    </w:p>
    <w:p w14:paraId="36FD7B54" w14:textId="77777777" w:rsidR="00D5162F" w:rsidRPr="00D5162F" w:rsidRDefault="00D5162F" w:rsidP="00D5162F">
      <w:pPr>
        <w:pStyle w:val="NormalWeb"/>
        <w:shd w:val="clear" w:color="auto" w:fill="FFFFFF"/>
        <w:spacing w:before="0" w:beforeAutospacing="0" w:after="336" w:afterAutospacing="0" w:line="336" w:lineRule="atLeast"/>
        <w:rPr>
          <w:sz w:val="24"/>
          <w:szCs w:val="24"/>
        </w:rPr>
      </w:pPr>
      <w:r w:rsidRPr="00D5162F">
        <w:rPr>
          <w:rFonts w:ascii="Segoe UI" w:hAnsi="Segoe UI" w:cs="Segoe UI"/>
          <w:b/>
          <w:bCs/>
          <w:color w:val="323130"/>
          <w:sz w:val="24"/>
          <w:szCs w:val="24"/>
        </w:rPr>
        <w:t>What is the conversion formula?</w:t>
      </w:r>
      <w:r w:rsidRPr="00D5162F">
        <w:rPr>
          <w:rFonts w:ascii="Segoe UI" w:hAnsi="Segoe UI" w:cs="Segoe UI"/>
          <w:color w:val="323130"/>
          <w:sz w:val="24"/>
          <w:szCs w:val="24"/>
        </w:rPr>
        <w:br/>
        <w:t>​​​​​​​The conversion formula for employees of state agencies is as follows:</w:t>
      </w:r>
    </w:p>
    <w:p w14:paraId="35711444" w14:textId="77777777" w:rsidR="00D5162F" w:rsidRPr="00D5162F" w:rsidRDefault="00D5162F" w:rsidP="00D5162F">
      <w:pPr>
        <w:pStyle w:val="NormalWeb"/>
        <w:shd w:val="clear" w:color="auto" w:fill="FFFFFF"/>
        <w:spacing w:before="0" w:beforeAutospacing="0" w:after="336" w:afterAutospacing="0" w:line="336" w:lineRule="atLeast"/>
        <w:jc w:val="center"/>
        <w:rPr>
          <w:sz w:val="24"/>
          <w:szCs w:val="24"/>
        </w:rPr>
      </w:pPr>
      <w:r w:rsidRPr="00D5162F">
        <w:rPr>
          <w:rFonts w:ascii="Segoe UI" w:hAnsi="Segoe UI" w:cs="Segoe UI"/>
          <w:color w:val="323130"/>
          <w:sz w:val="24"/>
          <w:szCs w:val="24"/>
        </w:rPr>
        <w:t>(Hours of unused sick leave ÷ 2) x (Hourly rate of pay at time of retirement)</w:t>
      </w:r>
    </w:p>
    <w:p w14:paraId="4E234ADF" w14:textId="77777777" w:rsidR="00D5162F" w:rsidRPr="00D5162F" w:rsidRDefault="00D5162F" w:rsidP="00D5162F">
      <w:pPr>
        <w:pStyle w:val="NormalWeb"/>
        <w:shd w:val="clear" w:color="auto" w:fill="FFFFFF"/>
        <w:spacing w:before="0" w:beforeAutospacing="0" w:after="336" w:afterAutospacing="0" w:line="336" w:lineRule="atLeast"/>
        <w:rPr>
          <w:sz w:val="24"/>
          <w:szCs w:val="24"/>
        </w:rPr>
      </w:pPr>
      <w:r w:rsidRPr="00D5162F">
        <w:rPr>
          <w:rFonts w:ascii="Segoe UI" w:hAnsi="Segoe UI" w:cs="Segoe UI"/>
          <w:color w:val="323130"/>
          <w:sz w:val="24"/>
          <w:szCs w:val="24"/>
        </w:rPr>
        <w:t xml:space="preserve">For example, if you have 1080 hours of sick leave, you </w:t>
      </w:r>
      <w:proofErr w:type="gramStart"/>
      <w:r w:rsidRPr="00D5162F">
        <w:rPr>
          <w:rFonts w:ascii="Segoe UI" w:hAnsi="Segoe UI" w:cs="Segoe UI"/>
          <w:color w:val="323130"/>
          <w:sz w:val="24"/>
          <w:szCs w:val="24"/>
        </w:rPr>
        <w:t>would</w:t>
      </w:r>
      <w:proofErr w:type="gramEnd"/>
      <w:r w:rsidRPr="00D5162F">
        <w:rPr>
          <w:rFonts w:ascii="Segoe UI" w:hAnsi="Segoe UI" w:cs="Segoe UI"/>
          <w:color w:val="323130"/>
          <w:sz w:val="24"/>
          <w:szCs w:val="24"/>
        </w:rPr>
        <w:t xml:space="preserve"> divide that in half to get 540 usable hours. If your pay rate at the time of retirement was $36/hour you would multiply that by 540 to get a total of $19,440 to put towards insurance premiums.</w:t>
      </w:r>
    </w:p>
    <w:p w14:paraId="3AFC2281" w14:textId="77777777" w:rsidR="00D5162F" w:rsidRPr="00D5162F" w:rsidRDefault="00D5162F" w:rsidP="00D5162F">
      <w:pPr>
        <w:pStyle w:val="NormalWeb"/>
        <w:shd w:val="clear" w:color="auto" w:fill="FFFFFF"/>
        <w:spacing w:before="0" w:beforeAutospacing="0" w:after="336" w:afterAutospacing="0" w:line="336" w:lineRule="atLeast"/>
        <w:rPr>
          <w:sz w:val="24"/>
          <w:szCs w:val="24"/>
        </w:rPr>
      </w:pPr>
      <w:r w:rsidRPr="00D5162F">
        <w:rPr>
          <w:rFonts w:ascii="Segoe UI" w:hAnsi="Segoe UI" w:cs="Segoe UI"/>
          <w:b/>
          <w:bCs/>
          <w:color w:val="323130"/>
          <w:sz w:val="24"/>
          <w:szCs w:val="24"/>
        </w:rPr>
        <w:t>Is there a limit on the number of hours I can convert?</w:t>
      </w:r>
      <w:r w:rsidRPr="00D5162F">
        <w:rPr>
          <w:rFonts w:ascii="Segoe UI" w:hAnsi="Segoe UI" w:cs="Segoe UI"/>
          <w:color w:val="323130"/>
          <w:sz w:val="24"/>
          <w:szCs w:val="24"/>
        </w:rPr>
        <w:br/>
        <w:t>The number of sick leave hours an employee can convert depends on the number of credited service hours. There is an absolute cap of 600 hours. The chart below shows the maximum hours of usable sick leave based off credited service hours.​​​​​​​</w:t>
      </w:r>
    </w:p>
    <w:tbl>
      <w:tblPr>
        <w:tblW w:w="9081" w:type="dxa"/>
        <w:shd w:val="clear" w:color="auto" w:fill="FFFFFF"/>
        <w:tblCellMar>
          <w:left w:w="0" w:type="dxa"/>
          <w:right w:w="0" w:type="dxa"/>
        </w:tblCellMar>
        <w:tblLook w:val="04A0" w:firstRow="1" w:lastRow="0" w:firstColumn="1" w:lastColumn="0" w:noHBand="0" w:noVBand="1"/>
      </w:tblPr>
      <w:tblGrid>
        <w:gridCol w:w="3009"/>
        <w:gridCol w:w="2887"/>
        <w:gridCol w:w="3185"/>
      </w:tblGrid>
      <w:tr w:rsidR="00D5162F" w:rsidRPr="00D5162F" w14:paraId="6E9B464A" w14:textId="77777777" w:rsidTr="00D5162F">
        <w:trPr>
          <w:trHeight w:val="527"/>
        </w:trPr>
        <w:tc>
          <w:tcPr>
            <w:tcW w:w="3009" w:type="dxa"/>
            <w:tcBorders>
              <w:top w:val="single" w:sz="24" w:space="0" w:color="auto"/>
              <w:left w:val="single" w:sz="24" w:space="0" w:color="auto"/>
              <w:bottom w:val="single" w:sz="24" w:space="0" w:color="auto"/>
              <w:right w:val="single" w:sz="24" w:space="0" w:color="auto"/>
            </w:tcBorders>
            <w:shd w:val="clear" w:color="auto" w:fill="0078D4"/>
            <w:tcMar>
              <w:top w:w="120" w:type="dxa"/>
              <w:left w:w="120" w:type="dxa"/>
              <w:bottom w:w="120" w:type="dxa"/>
              <w:right w:w="240" w:type="dxa"/>
            </w:tcMar>
            <w:vAlign w:val="center"/>
            <w:hideMark/>
          </w:tcPr>
          <w:p w14:paraId="11300262" w14:textId="70706E36" w:rsidR="00D5162F" w:rsidRPr="00D5162F" w:rsidRDefault="00D5162F">
            <w:pPr>
              <w:jc w:val="center"/>
              <w:rPr>
                <w:sz w:val="24"/>
                <w:szCs w:val="24"/>
              </w:rPr>
            </w:pPr>
            <w:r w:rsidRPr="00D5162F">
              <w:rPr>
                <w:rFonts w:ascii="Segoe UI" w:hAnsi="Segoe UI" w:cs="Segoe UI"/>
                <w:color w:val="323130"/>
                <w:sz w:val="24"/>
                <w:szCs w:val="24"/>
              </w:rPr>
              <w:t> </w:t>
            </w:r>
            <w:r w:rsidRPr="00D5162F">
              <w:rPr>
                <w:b/>
                <w:bCs/>
                <w:color w:val="FFFFFF"/>
                <w:sz w:val="24"/>
                <w:szCs w:val="24"/>
              </w:rPr>
              <w:t>Credited Hours of State Service</w:t>
            </w:r>
          </w:p>
        </w:tc>
        <w:tc>
          <w:tcPr>
            <w:tcW w:w="2887" w:type="dxa"/>
            <w:tcBorders>
              <w:top w:val="single" w:sz="24" w:space="0" w:color="auto"/>
              <w:left w:val="nil"/>
              <w:bottom w:val="single" w:sz="24" w:space="0" w:color="auto"/>
              <w:right w:val="single" w:sz="24" w:space="0" w:color="auto"/>
            </w:tcBorders>
            <w:shd w:val="clear" w:color="auto" w:fill="0078D4"/>
            <w:tcMar>
              <w:top w:w="120" w:type="dxa"/>
              <w:left w:w="120" w:type="dxa"/>
              <w:bottom w:w="120" w:type="dxa"/>
              <w:right w:w="240" w:type="dxa"/>
            </w:tcMar>
            <w:vAlign w:val="center"/>
            <w:hideMark/>
          </w:tcPr>
          <w:p w14:paraId="79D8222B" w14:textId="77777777" w:rsidR="00D5162F" w:rsidRPr="00D5162F" w:rsidRDefault="00D5162F">
            <w:pPr>
              <w:jc w:val="center"/>
              <w:rPr>
                <w:sz w:val="24"/>
                <w:szCs w:val="24"/>
              </w:rPr>
            </w:pPr>
            <w:r w:rsidRPr="00D5162F">
              <w:rPr>
                <w:b/>
                <w:bCs/>
                <w:color w:val="FFFFFF"/>
                <w:sz w:val="24"/>
                <w:szCs w:val="24"/>
              </w:rPr>
              <w:t>Estimated Years of State Service</w:t>
            </w:r>
          </w:p>
        </w:tc>
        <w:tc>
          <w:tcPr>
            <w:tcW w:w="3185" w:type="dxa"/>
            <w:tcBorders>
              <w:top w:val="single" w:sz="24" w:space="0" w:color="auto"/>
              <w:left w:val="nil"/>
              <w:bottom w:val="single" w:sz="24" w:space="0" w:color="auto"/>
              <w:right w:val="single" w:sz="24" w:space="0" w:color="auto"/>
            </w:tcBorders>
            <w:shd w:val="clear" w:color="auto" w:fill="0078D4"/>
            <w:tcMar>
              <w:top w:w="120" w:type="dxa"/>
              <w:left w:w="120" w:type="dxa"/>
              <w:bottom w:w="120" w:type="dxa"/>
              <w:right w:w="240" w:type="dxa"/>
            </w:tcMar>
            <w:vAlign w:val="center"/>
            <w:hideMark/>
          </w:tcPr>
          <w:p w14:paraId="73A3D124" w14:textId="77777777" w:rsidR="00D5162F" w:rsidRPr="00D5162F" w:rsidRDefault="00D5162F">
            <w:pPr>
              <w:jc w:val="center"/>
              <w:rPr>
                <w:sz w:val="24"/>
                <w:szCs w:val="24"/>
              </w:rPr>
            </w:pPr>
            <w:r w:rsidRPr="00D5162F">
              <w:rPr>
                <w:b/>
                <w:bCs/>
                <w:color w:val="FFFFFF"/>
                <w:sz w:val="24"/>
                <w:szCs w:val="24"/>
              </w:rPr>
              <w:t>Maximum Hours of Usable Sick Leave</w:t>
            </w:r>
          </w:p>
        </w:tc>
      </w:tr>
      <w:tr w:rsidR="00D5162F" w:rsidRPr="00D5162F" w14:paraId="65499288" w14:textId="77777777" w:rsidTr="00D5162F">
        <w:trPr>
          <w:trHeight w:val="270"/>
        </w:trPr>
        <w:tc>
          <w:tcPr>
            <w:tcW w:w="3009" w:type="dxa"/>
            <w:tcBorders>
              <w:top w:val="nil"/>
              <w:left w:val="single" w:sz="24" w:space="0" w:color="auto"/>
              <w:bottom w:val="single" w:sz="24" w:space="0" w:color="auto"/>
              <w:right w:val="single" w:sz="24" w:space="0" w:color="auto"/>
            </w:tcBorders>
            <w:shd w:val="clear" w:color="auto" w:fill="FFFFFF"/>
            <w:tcMar>
              <w:top w:w="120" w:type="dxa"/>
              <w:left w:w="120" w:type="dxa"/>
              <w:bottom w:w="120" w:type="dxa"/>
              <w:right w:w="240" w:type="dxa"/>
            </w:tcMar>
            <w:vAlign w:val="center"/>
            <w:hideMark/>
          </w:tcPr>
          <w:p w14:paraId="55E47A98" w14:textId="77777777" w:rsidR="00D5162F" w:rsidRPr="00D5162F" w:rsidRDefault="00D5162F">
            <w:pPr>
              <w:jc w:val="center"/>
              <w:rPr>
                <w:sz w:val="24"/>
                <w:szCs w:val="24"/>
              </w:rPr>
            </w:pPr>
            <w:r w:rsidRPr="00D5162F">
              <w:rPr>
                <w:color w:val="323130"/>
                <w:sz w:val="24"/>
                <w:szCs w:val="24"/>
              </w:rPr>
              <w:t>1 - 10,400</w:t>
            </w:r>
          </w:p>
        </w:tc>
        <w:tc>
          <w:tcPr>
            <w:tcW w:w="2887" w:type="dxa"/>
            <w:tcBorders>
              <w:top w:val="nil"/>
              <w:left w:val="nil"/>
              <w:bottom w:val="single" w:sz="24" w:space="0" w:color="auto"/>
              <w:right w:val="single" w:sz="24" w:space="0" w:color="auto"/>
            </w:tcBorders>
            <w:shd w:val="clear" w:color="auto" w:fill="FFFFFF"/>
            <w:tcMar>
              <w:top w:w="120" w:type="dxa"/>
              <w:left w:w="120" w:type="dxa"/>
              <w:bottom w:w="120" w:type="dxa"/>
              <w:right w:w="240" w:type="dxa"/>
            </w:tcMar>
            <w:vAlign w:val="center"/>
            <w:hideMark/>
          </w:tcPr>
          <w:p w14:paraId="394000D8" w14:textId="77777777" w:rsidR="00D5162F" w:rsidRPr="00D5162F" w:rsidRDefault="00D5162F">
            <w:pPr>
              <w:jc w:val="center"/>
              <w:rPr>
                <w:sz w:val="24"/>
                <w:szCs w:val="24"/>
              </w:rPr>
            </w:pPr>
            <w:r w:rsidRPr="00D5162F">
              <w:rPr>
                <w:color w:val="323130"/>
                <w:sz w:val="24"/>
                <w:szCs w:val="24"/>
              </w:rPr>
              <w:t>1 - 5 Years</w:t>
            </w:r>
          </w:p>
        </w:tc>
        <w:tc>
          <w:tcPr>
            <w:tcW w:w="3185" w:type="dxa"/>
            <w:tcBorders>
              <w:top w:val="nil"/>
              <w:left w:val="nil"/>
              <w:bottom w:val="single" w:sz="24" w:space="0" w:color="auto"/>
              <w:right w:val="single" w:sz="24" w:space="0" w:color="auto"/>
            </w:tcBorders>
            <w:shd w:val="clear" w:color="auto" w:fill="FFFFFF"/>
            <w:tcMar>
              <w:top w:w="120" w:type="dxa"/>
              <w:left w:w="120" w:type="dxa"/>
              <w:bottom w:w="120" w:type="dxa"/>
              <w:right w:w="240" w:type="dxa"/>
            </w:tcMar>
            <w:vAlign w:val="center"/>
            <w:hideMark/>
          </w:tcPr>
          <w:p w14:paraId="676D4053" w14:textId="77777777" w:rsidR="00D5162F" w:rsidRPr="00D5162F" w:rsidRDefault="00D5162F">
            <w:pPr>
              <w:jc w:val="center"/>
              <w:rPr>
                <w:sz w:val="24"/>
                <w:szCs w:val="24"/>
              </w:rPr>
            </w:pPr>
            <w:r w:rsidRPr="00D5162F">
              <w:rPr>
                <w:color w:val="323130"/>
                <w:sz w:val="24"/>
                <w:szCs w:val="24"/>
              </w:rPr>
              <w:t>840 ÷ 2 = 420</w:t>
            </w:r>
          </w:p>
        </w:tc>
      </w:tr>
      <w:tr w:rsidR="00D5162F" w:rsidRPr="00D5162F" w14:paraId="6A431121" w14:textId="77777777" w:rsidTr="00D5162F">
        <w:trPr>
          <w:trHeight w:val="257"/>
        </w:trPr>
        <w:tc>
          <w:tcPr>
            <w:tcW w:w="3009" w:type="dxa"/>
            <w:tcBorders>
              <w:top w:val="nil"/>
              <w:left w:val="single" w:sz="24" w:space="0" w:color="auto"/>
              <w:bottom w:val="single" w:sz="24" w:space="0" w:color="auto"/>
              <w:right w:val="single" w:sz="24" w:space="0" w:color="auto"/>
            </w:tcBorders>
            <w:shd w:val="clear" w:color="auto" w:fill="FFFFFF"/>
            <w:tcMar>
              <w:top w:w="120" w:type="dxa"/>
              <w:left w:w="120" w:type="dxa"/>
              <w:bottom w:w="120" w:type="dxa"/>
              <w:right w:w="240" w:type="dxa"/>
            </w:tcMar>
            <w:vAlign w:val="center"/>
            <w:hideMark/>
          </w:tcPr>
          <w:p w14:paraId="52875834" w14:textId="77777777" w:rsidR="00D5162F" w:rsidRPr="00D5162F" w:rsidRDefault="00D5162F">
            <w:pPr>
              <w:jc w:val="center"/>
              <w:rPr>
                <w:sz w:val="24"/>
                <w:szCs w:val="24"/>
              </w:rPr>
            </w:pPr>
            <w:r w:rsidRPr="00D5162F">
              <w:rPr>
                <w:color w:val="323130"/>
                <w:sz w:val="24"/>
                <w:szCs w:val="24"/>
              </w:rPr>
              <w:t>10,401 - 20,800</w:t>
            </w:r>
          </w:p>
        </w:tc>
        <w:tc>
          <w:tcPr>
            <w:tcW w:w="2887" w:type="dxa"/>
            <w:tcBorders>
              <w:top w:val="nil"/>
              <w:left w:val="nil"/>
              <w:bottom w:val="single" w:sz="24" w:space="0" w:color="auto"/>
              <w:right w:val="single" w:sz="24" w:space="0" w:color="auto"/>
            </w:tcBorders>
            <w:shd w:val="clear" w:color="auto" w:fill="FFFFFF"/>
            <w:tcMar>
              <w:top w:w="120" w:type="dxa"/>
              <w:left w:w="120" w:type="dxa"/>
              <w:bottom w:w="120" w:type="dxa"/>
              <w:right w:w="240" w:type="dxa"/>
            </w:tcMar>
            <w:vAlign w:val="center"/>
            <w:hideMark/>
          </w:tcPr>
          <w:p w14:paraId="2D4F92D7" w14:textId="77777777" w:rsidR="00D5162F" w:rsidRPr="00D5162F" w:rsidRDefault="00D5162F">
            <w:pPr>
              <w:jc w:val="center"/>
              <w:rPr>
                <w:sz w:val="24"/>
                <w:szCs w:val="24"/>
              </w:rPr>
            </w:pPr>
            <w:r w:rsidRPr="00D5162F">
              <w:rPr>
                <w:color w:val="323130"/>
                <w:sz w:val="24"/>
                <w:szCs w:val="24"/>
              </w:rPr>
              <w:t>5 -10 Years</w:t>
            </w:r>
          </w:p>
        </w:tc>
        <w:tc>
          <w:tcPr>
            <w:tcW w:w="3185" w:type="dxa"/>
            <w:tcBorders>
              <w:top w:val="nil"/>
              <w:left w:val="nil"/>
              <w:bottom w:val="single" w:sz="24" w:space="0" w:color="auto"/>
              <w:right w:val="single" w:sz="24" w:space="0" w:color="auto"/>
            </w:tcBorders>
            <w:shd w:val="clear" w:color="auto" w:fill="FFFFFF"/>
            <w:tcMar>
              <w:top w:w="120" w:type="dxa"/>
              <w:left w:w="120" w:type="dxa"/>
              <w:bottom w:w="120" w:type="dxa"/>
              <w:right w:w="240" w:type="dxa"/>
            </w:tcMar>
            <w:vAlign w:val="center"/>
            <w:hideMark/>
          </w:tcPr>
          <w:p w14:paraId="60C114AD" w14:textId="77777777" w:rsidR="00D5162F" w:rsidRPr="00D5162F" w:rsidRDefault="00D5162F">
            <w:pPr>
              <w:jc w:val="center"/>
              <w:rPr>
                <w:sz w:val="24"/>
                <w:szCs w:val="24"/>
              </w:rPr>
            </w:pPr>
            <w:r w:rsidRPr="00D5162F">
              <w:rPr>
                <w:color w:val="323130"/>
                <w:sz w:val="24"/>
                <w:szCs w:val="24"/>
              </w:rPr>
              <w:t>960 ÷ 2 = 480</w:t>
            </w:r>
          </w:p>
        </w:tc>
      </w:tr>
      <w:tr w:rsidR="00D5162F" w:rsidRPr="00D5162F" w14:paraId="4265321E" w14:textId="77777777" w:rsidTr="00D5162F">
        <w:trPr>
          <w:trHeight w:val="270"/>
        </w:trPr>
        <w:tc>
          <w:tcPr>
            <w:tcW w:w="3009" w:type="dxa"/>
            <w:tcBorders>
              <w:top w:val="nil"/>
              <w:left w:val="single" w:sz="24" w:space="0" w:color="auto"/>
              <w:bottom w:val="single" w:sz="24" w:space="0" w:color="auto"/>
              <w:right w:val="single" w:sz="24" w:space="0" w:color="auto"/>
            </w:tcBorders>
            <w:shd w:val="clear" w:color="auto" w:fill="FFFFFF"/>
            <w:tcMar>
              <w:top w:w="120" w:type="dxa"/>
              <w:left w:w="120" w:type="dxa"/>
              <w:bottom w:w="120" w:type="dxa"/>
              <w:right w:w="240" w:type="dxa"/>
            </w:tcMar>
            <w:vAlign w:val="center"/>
            <w:hideMark/>
          </w:tcPr>
          <w:p w14:paraId="29F5087D" w14:textId="77777777" w:rsidR="00D5162F" w:rsidRPr="00D5162F" w:rsidRDefault="00D5162F">
            <w:pPr>
              <w:jc w:val="center"/>
              <w:rPr>
                <w:sz w:val="24"/>
                <w:szCs w:val="24"/>
              </w:rPr>
            </w:pPr>
            <w:r w:rsidRPr="00D5162F">
              <w:rPr>
                <w:color w:val="323130"/>
                <w:sz w:val="24"/>
                <w:szCs w:val="24"/>
              </w:rPr>
              <w:t>20,801 - 31,200</w:t>
            </w:r>
          </w:p>
        </w:tc>
        <w:tc>
          <w:tcPr>
            <w:tcW w:w="2887" w:type="dxa"/>
            <w:tcBorders>
              <w:top w:val="nil"/>
              <w:left w:val="nil"/>
              <w:bottom w:val="single" w:sz="24" w:space="0" w:color="auto"/>
              <w:right w:val="single" w:sz="24" w:space="0" w:color="auto"/>
            </w:tcBorders>
            <w:shd w:val="clear" w:color="auto" w:fill="FFFFFF"/>
            <w:tcMar>
              <w:top w:w="120" w:type="dxa"/>
              <w:left w:w="120" w:type="dxa"/>
              <w:bottom w:w="120" w:type="dxa"/>
              <w:right w:w="240" w:type="dxa"/>
            </w:tcMar>
            <w:vAlign w:val="center"/>
            <w:hideMark/>
          </w:tcPr>
          <w:p w14:paraId="385373A9" w14:textId="77777777" w:rsidR="00D5162F" w:rsidRPr="00D5162F" w:rsidRDefault="00D5162F">
            <w:pPr>
              <w:jc w:val="center"/>
              <w:rPr>
                <w:sz w:val="24"/>
                <w:szCs w:val="24"/>
              </w:rPr>
            </w:pPr>
            <w:r w:rsidRPr="00D5162F">
              <w:rPr>
                <w:color w:val="323130"/>
                <w:sz w:val="24"/>
                <w:szCs w:val="24"/>
              </w:rPr>
              <w:t>10 - 15 Years</w:t>
            </w:r>
          </w:p>
        </w:tc>
        <w:tc>
          <w:tcPr>
            <w:tcW w:w="3185" w:type="dxa"/>
            <w:tcBorders>
              <w:top w:val="nil"/>
              <w:left w:val="nil"/>
              <w:bottom w:val="single" w:sz="24" w:space="0" w:color="auto"/>
              <w:right w:val="single" w:sz="24" w:space="0" w:color="auto"/>
            </w:tcBorders>
            <w:shd w:val="clear" w:color="auto" w:fill="FFFFFF"/>
            <w:tcMar>
              <w:top w:w="120" w:type="dxa"/>
              <w:left w:w="120" w:type="dxa"/>
              <w:bottom w:w="120" w:type="dxa"/>
              <w:right w:w="240" w:type="dxa"/>
            </w:tcMar>
            <w:vAlign w:val="center"/>
            <w:hideMark/>
          </w:tcPr>
          <w:p w14:paraId="7488E279" w14:textId="77777777" w:rsidR="00D5162F" w:rsidRPr="00D5162F" w:rsidRDefault="00D5162F">
            <w:pPr>
              <w:jc w:val="center"/>
              <w:rPr>
                <w:sz w:val="24"/>
                <w:szCs w:val="24"/>
              </w:rPr>
            </w:pPr>
            <w:r w:rsidRPr="00D5162F">
              <w:rPr>
                <w:color w:val="323130"/>
                <w:sz w:val="24"/>
                <w:szCs w:val="24"/>
              </w:rPr>
              <w:t>1080 ÷ 2 = 540</w:t>
            </w:r>
          </w:p>
        </w:tc>
      </w:tr>
      <w:tr w:rsidR="00D5162F" w:rsidRPr="00D5162F" w14:paraId="0CEA7FEE" w14:textId="77777777" w:rsidTr="00D5162F">
        <w:trPr>
          <w:trHeight w:val="257"/>
        </w:trPr>
        <w:tc>
          <w:tcPr>
            <w:tcW w:w="3009" w:type="dxa"/>
            <w:tcBorders>
              <w:top w:val="nil"/>
              <w:left w:val="single" w:sz="24" w:space="0" w:color="auto"/>
              <w:bottom w:val="single" w:sz="24" w:space="0" w:color="auto"/>
              <w:right w:val="single" w:sz="24" w:space="0" w:color="auto"/>
            </w:tcBorders>
            <w:shd w:val="clear" w:color="auto" w:fill="FFFFFF"/>
            <w:tcMar>
              <w:top w:w="120" w:type="dxa"/>
              <w:left w:w="120" w:type="dxa"/>
              <w:bottom w:w="120" w:type="dxa"/>
              <w:right w:w="240" w:type="dxa"/>
            </w:tcMar>
            <w:vAlign w:val="center"/>
            <w:hideMark/>
          </w:tcPr>
          <w:p w14:paraId="3F4093F9" w14:textId="77777777" w:rsidR="00D5162F" w:rsidRPr="00D5162F" w:rsidRDefault="00D5162F">
            <w:pPr>
              <w:jc w:val="center"/>
              <w:rPr>
                <w:sz w:val="24"/>
                <w:szCs w:val="24"/>
              </w:rPr>
            </w:pPr>
            <w:r w:rsidRPr="00D5162F">
              <w:rPr>
                <w:color w:val="323130"/>
                <w:sz w:val="24"/>
                <w:szCs w:val="24"/>
              </w:rPr>
              <w:t>More than 31,200</w:t>
            </w:r>
          </w:p>
        </w:tc>
        <w:tc>
          <w:tcPr>
            <w:tcW w:w="2887" w:type="dxa"/>
            <w:tcBorders>
              <w:top w:val="nil"/>
              <w:left w:val="nil"/>
              <w:bottom w:val="single" w:sz="24" w:space="0" w:color="auto"/>
              <w:right w:val="single" w:sz="24" w:space="0" w:color="auto"/>
            </w:tcBorders>
            <w:shd w:val="clear" w:color="auto" w:fill="FFFFFF"/>
            <w:tcMar>
              <w:top w:w="120" w:type="dxa"/>
              <w:left w:w="120" w:type="dxa"/>
              <w:bottom w:w="120" w:type="dxa"/>
              <w:right w:w="240" w:type="dxa"/>
            </w:tcMar>
            <w:vAlign w:val="center"/>
            <w:hideMark/>
          </w:tcPr>
          <w:p w14:paraId="2B798097" w14:textId="77777777" w:rsidR="00D5162F" w:rsidRPr="00D5162F" w:rsidRDefault="00D5162F">
            <w:pPr>
              <w:jc w:val="center"/>
              <w:rPr>
                <w:sz w:val="24"/>
                <w:szCs w:val="24"/>
              </w:rPr>
            </w:pPr>
            <w:r w:rsidRPr="00D5162F">
              <w:rPr>
                <w:color w:val="323130"/>
                <w:sz w:val="24"/>
                <w:szCs w:val="24"/>
              </w:rPr>
              <w:t>15 or more years</w:t>
            </w:r>
          </w:p>
        </w:tc>
        <w:tc>
          <w:tcPr>
            <w:tcW w:w="3185" w:type="dxa"/>
            <w:tcBorders>
              <w:top w:val="nil"/>
              <w:left w:val="nil"/>
              <w:bottom w:val="single" w:sz="24" w:space="0" w:color="auto"/>
              <w:right w:val="single" w:sz="24" w:space="0" w:color="auto"/>
            </w:tcBorders>
            <w:shd w:val="clear" w:color="auto" w:fill="FFFFFF"/>
            <w:tcMar>
              <w:top w:w="120" w:type="dxa"/>
              <w:left w:w="120" w:type="dxa"/>
              <w:bottom w:w="120" w:type="dxa"/>
              <w:right w:w="240" w:type="dxa"/>
            </w:tcMar>
            <w:vAlign w:val="center"/>
            <w:hideMark/>
          </w:tcPr>
          <w:p w14:paraId="6F46DF1E" w14:textId="77777777" w:rsidR="00D5162F" w:rsidRPr="00D5162F" w:rsidRDefault="00D5162F">
            <w:pPr>
              <w:jc w:val="center"/>
              <w:rPr>
                <w:sz w:val="24"/>
                <w:szCs w:val="24"/>
              </w:rPr>
            </w:pPr>
            <w:r w:rsidRPr="00D5162F">
              <w:rPr>
                <w:color w:val="323130"/>
                <w:sz w:val="24"/>
                <w:szCs w:val="24"/>
              </w:rPr>
              <w:t>1200 ÷ 2 = 600</w:t>
            </w:r>
          </w:p>
        </w:tc>
      </w:tr>
    </w:tbl>
    <w:p w14:paraId="1B3A9505" w14:textId="77777777" w:rsidR="00D5162F" w:rsidRPr="00D5162F" w:rsidRDefault="00D5162F" w:rsidP="00D5162F">
      <w:pPr>
        <w:pStyle w:val="NormalWeb"/>
        <w:shd w:val="clear" w:color="auto" w:fill="FFFFFF"/>
        <w:spacing w:before="0" w:beforeAutospacing="0" w:after="336" w:afterAutospacing="0" w:line="336" w:lineRule="atLeast"/>
        <w:rPr>
          <w:sz w:val="24"/>
          <w:szCs w:val="24"/>
        </w:rPr>
      </w:pPr>
      <w:r w:rsidRPr="00D5162F">
        <w:rPr>
          <w:rFonts w:ascii="Segoe UI" w:hAnsi="Segoe UI" w:cs="Segoe UI"/>
          <w:color w:val="323130"/>
          <w:sz w:val="24"/>
          <w:szCs w:val="24"/>
        </w:rPr>
        <w:t> </w:t>
      </w:r>
    </w:p>
    <w:p w14:paraId="3173A634" w14:textId="77777777" w:rsidR="00D5162F" w:rsidRPr="00D5162F" w:rsidRDefault="00D5162F" w:rsidP="00D5162F">
      <w:pPr>
        <w:pStyle w:val="NormalWeb"/>
        <w:shd w:val="clear" w:color="auto" w:fill="FFFFFF"/>
        <w:spacing w:before="0" w:beforeAutospacing="0" w:after="336" w:afterAutospacing="0" w:line="336" w:lineRule="atLeast"/>
        <w:rPr>
          <w:sz w:val="24"/>
          <w:szCs w:val="24"/>
        </w:rPr>
      </w:pPr>
      <w:r w:rsidRPr="00D5162F">
        <w:rPr>
          <w:rFonts w:ascii="Segoe UI" w:hAnsi="Segoe UI" w:cs="Segoe UI"/>
          <w:b/>
          <w:bCs/>
          <w:color w:val="323130"/>
          <w:sz w:val="24"/>
          <w:szCs w:val="24"/>
        </w:rPr>
        <w:lastRenderedPageBreak/>
        <w:t xml:space="preserve">I thought only employees who were hired prior to July 1, </w:t>
      </w:r>
      <w:proofErr w:type="gramStart"/>
      <w:r w:rsidRPr="00D5162F">
        <w:rPr>
          <w:rFonts w:ascii="Segoe UI" w:hAnsi="Segoe UI" w:cs="Segoe UI"/>
          <w:b/>
          <w:bCs/>
          <w:color w:val="323130"/>
          <w:sz w:val="24"/>
          <w:szCs w:val="24"/>
        </w:rPr>
        <w:t>2009</w:t>
      </w:r>
      <w:proofErr w:type="gramEnd"/>
      <w:r w:rsidRPr="00D5162F">
        <w:rPr>
          <w:rFonts w:ascii="Segoe UI" w:hAnsi="Segoe UI" w:cs="Segoe UI"/>
          <w:b/>
          <w:bCs/>
          <w:color w:val="323130"/>
          <w:sz w:val="24"/>
          <w:szCs w:val="24"/>
        </w:rPr>
        <w:t xml:space="preserve"> were eligible for this benefit?</w:t>
      </w:r>
      <w:r w:rsidRPr="00D5162F">
        <w:rPr>
          <w:rFonts w:ascii="Segoe UI" w:hAnsi="Segoe UI" w:cs="Segoe UI"/>
          <w:color w:val="323130"/>
          <w:sz w:val="24"/>
          <w:szCs w:val="24"/>
        </w:rPr>
        <w:br/>
        <w:t xml:space="preserve">This is a common misconception. Employees who were hired with the State prior to July 1, </w:t>
      </w:r>
      <w:proofErr w:type="gramStart"/>
      <w:r w:rsidRPr="00D5162F">
        <w:rPr>
          <w:rFonts w:ascii="Segoe UI" w:hAnsi="Segoe UI" w:cs="Segoe UI"/>
          <w:color w:val="323130"/>
          <w:sz w:val="24"/>
          <w:szCs w:val="24"/>
        </w:rPr>
        <w:t>2009</w:t>
      </w:r>
      <w:proofErr w:type="gramEnd"/>
      <w:r w:rsidRPr="00D5162F">
        <w:rPr>
          <w:rFonts w:ascii="Segoe UI" w:hAnsi="Segoe UI" w:cs="Segoe UI"/>
          <w:color w:val="323130"/>
          <w:sz w:val="24"/>
          <w:szCs w:val="24"/>
        </w:rPr>
        <w:t xml:space="preserve"> and are under the age of 65 are eligible for the retiree plan. The retiree plan is offered through Blue Cross of Idaho to serve as a comprehensive insurance plan to cover retires before they turn 65 and become eligible for Medicare. Employees pay a monthly premium and can enroll in their choice of Blue Cross of Idaho Traditional, PPO, or High Deductible Plans. For more information on the retiree plan, click </w:t>
      </w:r>
      <w:hyperlink r:id="rId5" w:history="1">
        <w:r w:rsidRPr="00D5162F">
          <w:rPr>
            <w:rStyle w:val="Hyperlink"/>
            <w:rFonts w:ascii="Segoe UI" w:hAnsi="Segoe UI" w:cs="Segoe UI"/>
            <w:color w:val="0078D4"/>
            <w:sz w:val="24"/>
            <w:szCs w:val="24"/>
          </w:rPr>
          <w:t>here</w:t>
        </w:r>
      </w:hyperlink>
      <w:r w:rsidRPr="00D5162F">
        <w:rPr>
          <w:rFonts w:ascii="Segoe UI" w:hAnsi="Segoe UI" w:cs="Segoe UI"/>
          <w:color w:val="323130"/>
          <w:sz w:val="24"/>
          <w:szCs w:val="24"/>
        </w:rPr>
        <w:t>.</w:t>
      </w:r>
    </w:p>
    <w:p w14:paraId="3CBBD402" w14:textId="77777777" w:rsidR="00D5162F" w:rsidRPr="00D5162F" w:rsidRDefault="00D5162F" w:rsidP="00D5162F">
      <w:pPr>
        <w:pStyle w:val="NormalWeb"/>
        <w:shd w:val="clear" w:color="auto" w:fill="FFFFFF"/>
        <w:spacing w:before="0" w:beforeAutospacing="0" w:after="336" w:afterAutospacing="0" w:line="336" w:lineRule="atLeast"/>
        <w:rPr>
          <w:sz w:val="24"/>
          <w:szCs w:val="24"/>
        </w:rPr>
      </w:pPr>
      <w:r w:rsidRPr="00D5162F">
        <w:rPr>
          <w:rFonts w:ascii="Segoe UI" w:hAnsi="Segoe UI" w:cs="Segoe UI"/>
          <w:b/>
          <w:bCs/>
          <w:color w:val="323130"/>
          <w:sz w:val="24"/>
          <w:szCs w:val="24"/>
        </w:rPr>
        <w:t>What if I started with the State after July 1, 2009?</w:t>
      </w:r>
      <w:r w:rsidRPr="00D5162F">
        <w:rPr>
          <w:rFonts w:ascii="Segoe UI" w:hAnsi="Segoe UI" w:cs="Segoe UI"/>
          <w:color w:val="323130"/>
          <w:sz w:val="24"/>
          <w:szCs w:val="24"/>
        </w:rPr>
        <w:br/>
        <w:t xml:space="preserve">If you were hired after July 1, </w:t>
      </w:r>
      <w:proofErr w:type="gramStart"/>
      <w:r w:rsidRPr="00D5162F">
        <w:rPr>
          <w:rFonts w:ascii="Segoe UI" w:hAnsi="Segoe UI" w:cs="Segoe UI"/>
          <w:color w:val="323130"/>
          <w:sz w:val="24"/>
          <w:szCs w:val="24"/>
        </w:rPr>
        <w:t>2009</w:t>
      </w:r>
      <w:proofErr w:type="gramEnd"/>
      <w:r w:rsidRPr="00D5162F">
        <w:rPr>
          <w:rFonts w:ascii="Segoe UI" w:hAnsi="Segoe UI" w:cs="Segoe UI"/>
          <w:color w:val="323130"/>
          <w:sz w:val="24"/>
          <w:szCs w:val="24"/>
        </w:rPr>
        <w:t xml:space="preserve"> then you are not eligible for the State retiree plan however you can still use unused sick leave hours to pay for healthcare insurance premiums, Medicare options, dental coverage, long term care, and other medical plans all offered through the Office of Group Insurance. One final policy that employees can use sick leave for is the NCPERS Decreasing Term Life Insurance.  To be eligible to use your sick leave for any of the above policies requires employees to receive a monthly retirement benefit from PERSI. </w:t>
      </w:r>
    </w:p>
    <w:p w14:paraId="0CC136A2" w14:textId="77777777" w:rsidR="00D5162F" w:rsidRPr="00D5162F" w:rsidRDefault="00D5162F" w:rsidP="00D5162F">
      <w:pPr>
        <w:pStyle w:val="NormalWeb"/>
        <w:shd w:val="clear" w:color="auto" w:fill="FFFFFF"/>
        <w:spacing w:before="0" w:beforeAutospacing="0" w:after="336" w:afterAutospacing="0" w:line="336" w:lineRule="atLeast"/>
        <w:rPr>
          <w:sz w:val="24"/>
          <w:szCs w:val="24"/>
        </w:rPr>
      </w:pPr>
      <w:r w:rsidRPr="00D5162F">
        <w:rPr>
          <w:rFonts w:ascii="Segoe UI" w:hAnsi="Segoe UI" w:cs="Segoe UI"/>
          <w:b/>
          <w:bCs/>
          <w:color w:val="323130"/>
          <w:sz w:val="24"/>
          <w:szCs w:val="24"/>
        </w:rPr>
        <w:t>Will my sick leave be converted automatically upon retirement?</w:t>
      </w:r>
      <w:r w:rsidRPr="00D5162F">
        <w:rPr>
          <w:rFonts w:ascii="Segoe UI" w:hAnsi="Segoe UI" w:cs="Segoe UI"/>
          <w:color w:val="323130"/>
          <w:sz w:val="24"/>
          <w:szCs w:val="24"/>
        </w:rPr>
        <w:br/>
        <w:t>Once you have given notice of your retirement, HR will provide PERSI with the balance of your unused sick leave. This will then be converted to a dollar value by PERSI. You are responsible for directly contacting the approved carriers and enrolling in the plan of your choice. The insurance carrier will then set up an account in the PERSI portal and bill PERSI each month for your premiums. PERSI will draw down your sick leave balance to pay your premium and you will be notified when your balance is nearing depletion.</w:t>
      </w:r>
    </w:p>
    <w:p w14:paraId="6B599986" w14:textId="77777777" w:rsidR="00D5162F" w:rsidRPr="00D5162F" w:rsidRDefault="00D5162F" w:rsidP="00D5162F">
      <w:pPr>
        <w:pStyle w:val="NormalWeb"/>
        <w:shd w:val="clear" w:color="auto" w:fill="FFFFFF"/>
        <w:spacing w:before="0" w:beforeAutospacing="0" w:after="336" w:afterAutospacing="0" w:line="336" w:lineRule="atLeast"/>
        <w:rPr>
          <w:sz w:val="24"/>
          <w:szCs w:val="24"/>
        </w:rPr>
      </w:pPr>
      <w:r w:rsidRPr="00D5162F">
        <w:rPr>
          <w:rFonts w:ascii="Segoe UI" w:hAnsi="Segoe UI" w:cs="Segoe UI"/>
          <w:b/>
          <w:bCs/>
          <w:color w:val="323130"/>
          <w:sz w:val="24"/>
          <w:szCs w:val="24"/>
        </w:rPr>
        <w:t>Where do I find a list of approved insurance carriers to inquire about available plans?</w:t>
      </w:r>
      <w:r w:rsidRPr="00D5162F">
        <w:rPr>
          <w:rFonts w:ascii="Segoe UI" w:hAnsi="Segoe UI" w:cs="Segoe UI"/>
          <w:color w:val="323130"/>
          <w:sz w:val="24"/>
          <w:szCs w:val="24"/>
        </w:rPr>
        <w:br/>
        <w:t>You can find a list of approved insurance carriers and their contact information on the Office of Group Insurance website </w:t>
      </w:r>
      <w:hyperlink r:id="rId6" w:history="1">
        <w:r w:rsidRPr="00D5162F">
          <w:rPr>
            <w:rStyle w:val="Hyperlink"/>
            <w:rFonts w:ascii="Segoe UI" w:hAnsi="Segoe UI" w:cs="Segoe UI"/>
            <w:color w:val="0078D4"/>
            <w:sz w:val="24"/>
            <w:szCs w:val="24"/>
          </w:rPr>
          <w:t>here</w:t>
        </w:r>
      </w:hyperlink>
      <w:r w:rsidRPr="00D5162F">
        <w:rPr>
          <w:rFonts w:ascii="Segoe UI" w:hAnsi="Segoe UI" w:cs="Segoe UI"/>
          <w:color w:val="323130"/>
          <w:sz w:val="24"/>
          <w:szCs w:val="24"/>
        </w:rPr>
        <w:t>. ​​​​​​​</w:t>
      </w:r>
    </w:p>
    <w:p w14:paraId="67639E1E" w14:textId="5CF7EB61" w:rsidR="00D5162F" w:rsidRPr="00D5162F" w:rsidRDefault="00D5162F" w:rsidP="00D5162F">
      <w:pPr>
        <w:pStyle w:val="NormalWeb"/>
        <w:shd w:val="clear" w:color="auto" w:fill="FFFFFF"/>
        <w:spacing w:before="0" w:beforeAutospacing="0" w:after="336" w:afterAutospacing="0" w:line="336" w:lineRule="atLeast"/>
        <w:rPr>
          <w:sz w:val="24"/>
          <w:szCs w:val="24"/>
        </w:rPr>
      </w:pPr>
      <w:r w:rsidRPr="00D5162F">
        <w:rPr>
          <w:rFonts w:ascii="Segoe UI" w:hAnsi="Segoe UI" w:cs="Segoe UI"/>
          <w:b/>
          <w:bCs/>
          <w:color w:val="323130"/>
          <w:sz w:val="24"/>
          <w:szCs w:val="24"/>
        </w:rPr>
        <w:t>I still have questions. Who should I talk to?</w:t>
      </w:r>
      <w:r w:rsidRPr="00D5162F">
        <w:rPr>
          <w:rFonts w:ascii="Segoe UI" w:hAnsi="Segoe UI" w:cs="Segoe UI"/>
          <w:color w:val="323130"/>
          <w:sz w:val="24"/>
          <w:szCs w:val="24"/>
        </w:rPr>
        <w:br/>
        <w:t xml:space="preserve">If you have questions about how much sick leave you have accrued, eligibility, or retirement please reach out to Human Resources. Below are </w:t>
      </w:r>
      <w:proofErr w:type="gramStart"/>
      <w:r w:rsidRPr="00D5162F">
        <w:rPr>
          <w:rFonts w:ascii="Segoe UI" w:hAnsi="Segoe UI" w:cs="Segoe UI"/>
          <w:color w:val="323130"/>
          <w:sz w:val="24"/>
          <w:szCs w:val="24"/>
        </w:rPr>
        <w:t>a number of</w:t>
      </w:r>
      <w:proofErr w:type="gramEnd"/>
      <w:r w:rsidRPr="00D5162F">
        <w:rPr>
          <w:rFonts w:ascii="Segoe UI" w:hAnsi="Segoe UI" w:cs="Segoe UI"/>
          <w:color w:val="323130"/>
          <w:sz w:val="24"/>
          <w:szCs w:val="24"/>
        </w:rPr>
        <w:t xml:space="preserve"> helpful resources you can also review.</w:t>
      </w:r>
    </w:p>
    <w:p w14:paraId="7C8621EB" w14:textId="244101C2" w:rsidR="00EE3B6F" w:rsidRPr="00D5162F" w:rsidRDefault="00D5162F" w:rsidP="00D5162F">
      <w:pPr>
        <w:pStyle w:val="NormalWeb"/>
        <w:shd w:val="clear" w:color="auto" w:fill="FFFFFF"/>
        <w:spacing w:before="0" w:beforeAutospacing="0" w:after="336" w:afterAutospacing="0" w:line="336" w:lineRule="atLeast"/>
        <w:rPr>
          <w:sz w:val="24"/>
          <w:szCs w:val="24"/>
        </w:rPr>
      </w:pPr>
      <w:hyperlink r:id="rId7" w:history="1">
        <w:r w:rsidRPr="00D5162F">
          <w:rPr>
            <w:rStyle w:val="Hyperlink"/>
            <w:rFonts w:ascii="Segoe UI" w:hAnsi="Segoe UI" w:cs="Segoe UI"/>
            <w:color w:val="0078D4"/>
            <w:sz w:val="24"/>
            <w:szCs w:val="24"/>
          </w:rPr>
          <w:t>PERSI Insurance Information</w:t>
        </w:r>
      </w:hyperlink>
      <w:r w:rsidRPr="00D5162F">
        <w:rPr>
          <w:rFonts w:ascii="Segoe UI" w:hAnsi="Segoe UI" w:cs="Segoe UI"/>
          <w:color w:val="323130"/>
          <w:sz w:val="24"/>
          <w:szCs w:val="24"/>
        </w:rPr>
        <w:br/>
      </w:r>
      <w:hyperlink r:id="rId8" w:history="1">
        <w:r w:rsidRPr="00D5162F">
          <w:rPr>
            <w:rStyle w:val="Hyperlink"/>
            <w:rFonts w:ascii="Segoe UI" w:hAnsi="Segoe UI" w:cs="Segoe UI"/>
            <w:color w:val="0078D4"/>
            <w:sz w:val="24"/>
            <w:szCs w:val="24"/>
          </w:rPr>
          <w:t>PERSI Using Sick Leave Info Document</w:t>
        </w:r>
      </w:hyperlink>
    </w:p>
    <w:sectPr w:rsidR="00EE3B6F" w:rsidRPr="00D51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2F"/>
    <w:rsid w:val="00D5162F"/>
    <w:rsid w:val="00EE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E36F"/>
  <w15:chartTrackingRefBased/>
  <w15:docId w15:val="{262DE1D6-E50B-408E-86FA-FF9B3852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6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162F"/>
    <w:rPr>
      <w:color w:val="0000FF"/>
      <w:u w:val="single"/>
    </w:rPr>
  </w:style>
  <w:style w:type="paragraph" w:styleId="NormalWeb">
    <w:name w:val="Normal (Web)"/>
    <w:basedOn w:val="Normal"/>
    <w:uiPriority w:val="99"/>
    <w:unhideWhenUsed/>
    <w:rsid w:val="00D516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i.idaho.gov/wp-content/uploads/sites/113/2020/08/UsingSickLeave_StateOfIdahoRetirees.pdf" TargetMode="External"/><Relationship Id="rId3" Type="http://schemas.openxmlformats.org/officeDocument/2006/relationships/webSettings" Target="webSettings.xml"/><Relationship Id="rId7" Type="http://schemas.openxmlformats.org/officeDocument/2006/relationships/hyperlink" Target="https://www.persi.idaho.gov/retirees/insur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gi.idaho.gov/retiree/" TargetMode="External"/><Relationship Id="rId5" Type="http://schemas.openxmlformats.org/officeDocument/2006/relationships/hyperlink" Target="https://ogi.idaho.gov/retiree/" TargetMode="External"/><Relationship Id="rId10" Type="http://schemas.openxmlformats.org/officeDocument/2006/relationships/theme" Target="theme/theme1.xml"/><Relationship Id="rId4" Type="http://schemas.openxmlformats.org/officeDocument/2006/relationships/hyperlink" Target="https://legislature.idaho.gov/statutesrules/idstat/Title67/T67CH53/SECT67-533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Ryan</dc:creator>
  <cp:keywords/>
  <dc:description/>
  <cp:lastModifiedBy>Andrea Ryan</cp:lastModifiedBy>
  <cp:revision>1</cp:revision>
  <dcterms:created xsi:type="dcterms:W3CDTF">2023-02-01T15:23:00Z</dcterms:created>
  <dcterms:modified xsi:type="dcterms:W3CDTF">2023-02-01T15:26:00Z</dcterms:modified>
</cp:coreProperties>
</file>