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B4250" w14:textId="77777777" w:rsidR="006D423F" w:rsidRDefault="006D423F" w:rsidP="006D423F"/>
    <w:p w14:paraId="18D07F4A" w14:textId="52E517B4" w:rsidR="006D423F" w:rsidRDefault="006D423F" w:rsidP="006D423F">
      <w:r>
        <w:t>This morning, the JFAC committee voted on both the statewide CEC recommendations, and the DHR budget related to HR consolidation. The following were approved:</w:t>
      </w:r>
    </w:p>
    <w:p w14:paraId="11AFEF9C" w14:textId="77777777" w:rsidR="006D423F" w:rsidRDefault="006D423F" w:rsidP="006D423F"/>
    <w:p w14:paraId="2587F037" w14:textId="77777777" w:rsidR="006D423F" w:rsidRDefault="006D423F" w:rsidP="006D423F">
      <w:pPr>
        <w:rPr>
          <w:b/>
          <w:bCs/>
        </w:rPr>
      </w:pPr>
      <w:r>
        <w:rPr>
          <w:b/>
          <w:bCs/>
        </w:rPr>
        <w:t>CEC</w:t>
      </w:r>
    </w:p>
    <w:p w14:paraId="6B173ED3" w14:textId="77777777" w:rsidR="006D423F" w:rsidRDefault="006D423F" w:rsidP="006D423F">
      <w:pPr>
        <w:pStyle w:val="ListParagraph"/>
        <w:numPr>
          <w:ilvl w:val="0"/>
          <w:numId w:val="1"/>
        </w:numPr>
        <w:rPr>
          <w:rFonts w:eastAsia="Times New Roman"/>
        </w:rPr>
      </w:pPr>
      <w:r>
        <w:rPr>
          <w:rFonts w:eastAsia="Times New Roman"/>
        </w:rPr>
        <w:t xml:space="preserve">$1.20 per hour per FTP, for permanent employee compensation to be distributed </w:t>
      </w:r>
      <w:proofErr w:type="gramStart"/>
      <w:r>
        <w:rPr>
          <w:rFonts w:eastAsia="Times New Roman"/>
        </w:rPr>
        <w:t>on the basis of</w:t>
      </w:r>
      <w:proofErr w:type="gramEnd"/>
      <w:r>
        <w:rPr>
          <w:rFonts w:eastAsia="Times New Roman"/>
        </w:rPr>
        <w:t xml:space="preserve"> merit at the discretion of agency heads and institution presidents, with the flexibility to distribute funding for recruitment and retention purposes in hard-to-fill and hard-to-retain positions.</w:t>
      </w:r>
    </w:p>
    <w:p w14:paraId="75D2247A" w14:textId="77777777" w:rsidR="006D423F" w:rsidRDefault="006D423F" w:rsidP="006D423F">
      <w:pPr>
        <w:pStyle w:val="ListParagraph"/>
        <w:numPr>
          <w:ilvl w:val="0"/>
          <w:numId w:val="1"/>
        </w:numPr>
        <w:rPr>
          <w:rFonts w:eastAsia="Times New Roman"/>
        </w:rPr>
      </w:pPr>
      <w:r>
        <w:rPr>
          <w:rFonts w:eastAsia="Times New Roman"/>
        </w:rPr>
        <w:t xml:space="preserve">Upward shift of the core compensation schedule (shown below) by an average of 8.5% </w:t>
      </w:r>
      <w:proofErr w:type="gramStart"/>
      <w:r>
        <w:rPr>
          <w:rFonts w:eastAsia="Times New Roman"/>
        </w:rPr>
        <w:t>with the exception of</w:t>
      </w:r>
      <w:proofErr w:type="gramEnd"/>
      <w:r>
        <w:rPr>
          <w:rFonts w:eastAsia="Times New Roman"/>
        </w:rPr>
        <w:t xml:space="preserve"> the minimum wage in pay grade D. This will result in increases to midpoints ranging from 1% to over 20% depending on the grade. Average </w:t>
      </w:r>
      <w:proofErr w:type="spellStart"/>
      <w:r>
        <w:rPr>
          <w:rFonts w:eastAsia="Times New Roman"/>
        </w:rPr>
        <w:t>compa</w:t>
      </w:r>
      <w:proofErr w:type="spellEnd"/>
      <w:r>
        <w:rPr>
          <w:rFonts w:eastAsia="Times New Roman"/>
        </w:rPr>
        <w:t>-ratio will be 90%.</w:t>
      </w:r>
    </w:p>
    <w:p w14:paraId="19CE5808" w14:textId="77777777" w:rsidR="006D423F" w:rsidRDefault="006D423F" w:rsidP="006D423F">
      <w:pPr>
        <w:pStyle w:val="ListParagraph"/>
        <w:numPr>
          <w:ilvl w:val="0"/>
          <w:numId w:val="1"/>
        </w:numPr>
        <w:rPr>
          <w:rFonts w:eastAsia="Times New Roman"/>
        </w:rPr>
      </w:pPr>
      <w:r>
        <w:rPr>
          <w:rFonts w:eastAsia="Times New Roman"/>
        </w:rPr>
        <w:t xml:space="preserve">Implement an additional salary structure for public safety positions. </w:t>
      </w:r>
      <w:r>
        <w:rPr>
          <w:rFonts w:eastAsia="Times New Roman"/>
          <w:i/>
          <w:iCs/>
        </w:rPr>
        <w:t>The proposed funding for equity adjustments related to the new structure was not approved and will be handled in individual agency budgets.</w:t>
      </w:r>
    </w:p>
    <w:p w14:paraId="1C13DA30" w14:textId="77777777" w:rsidR="006D423F" w:rsidRDefault="006D423F" w:rsidP="006D423F">
      <w:pPr>
        <w:pStyle w:val="ListParagraph"/>
        <w:numPr>
          <w:ilvl w:val="0"/>
          <w:numId w:val="1"/>
        </w:numPr>
        <w:rPr>
          <w:rFonts w:eastAsia="Times New Roman"/>
        </w:rPr>
      </w:pPr>
      <w:r>
        <w:rPr>
          <w:rFonts w:eastAsia="Times New Roman"/>
        </w:rPr>
        <w:t>Moving pay grade minimums to 75% and maintaining the maximum of 150%.</w:t>
      </w:r>
    </w:p>
    <w:p w14:paraId="40A62E84" w14:textId="77777777" w:rsidR="006D423F" w:rsidRDefault="006D423F" w:rsidP="006D423F"/>
    <w:p w14:paraId="425357F1" w14:textId="77777777" w:rsidR="006D423F" w:rsidRDefault="006D423F" w:rsidP="006D423F">
      <w:pPr>
        <w:spacing w:after="240"/>
        <w:rPr>
          <w:b/>
          <w:bCs/>
        </w:rPr>
      </w:pPr>
      <w:r>
        <w:rPr>
          <w:b/>
          <w:bCs/>
        </w:rPr>
        <w:t>CORE STRUCTURE SHIFT:</w:t>
      </w:r>
    </w:p>
    <w:tbl>
      <w:tblPr>
        <w:tblW w:w="8680" w:type="dxa"/>
        <w:tblCellMar>
          <w:left w:w="0" w:type="dxa"/>
          <w:right w:w="0" w:type="dxa"/>
        </w:tblCellMar>
        <w:tblLook w:val="04A0" w:firstRow="1" w:lastRow="0" w:firstColumn="1" w:lastColumn="0" w:noHBand="0" w:noVBand="1"/>
      </w:tblPr>
      <w:tblGrid>
        <w:gridCol w:w="708"/>
        <w:gridCol w:w="1133"/>
        <w:gridCol w:w="1398"/>
        <w:gridCol w:w="1134"/>
        <w:gridCol w:w="1140"/>
        <w:gridCol w:w="951"/>
        <w:gridCol w:w="94"/>
        <w:gridCol w:w="932"/>
        <w:gridCol w:w="94"/>
        <w:gridCol w:w="1096"/>
      </w:tblGrid>
      <w:tr w:rsidR="006D423F" w14:paraId="3826D38A" w14:textId="77777777" w:rsidTr="006D423F">
        <w:trPr>
          <w:trHeight w:val="855"/>
        </w:trPr>
        <w:tc>
          <w:tcPr>
            <w:tcW w:w="720" w:type="dxa"/>
            <w:tcBorders>
              <w:top w:val="single" w:sz="8" w:space="0" w:color="000000"/>
              <w:left w:val="single" w:sz="8" w:space="0" w:color="000000"/>
              <w:bottom w:val="single" w:sz="8" w:space="0" w:color="000000"/>
              <w:right w:val="single" w:sz="8" w:space="0" w:color="FFFFFF"/>
            </w:tcBorders>
            <w:shd w:val="clear" w:color="auto" w:fill="006550"/>
            <w:tcMar>
              <w:top w:w="15" w:type="dxa"/>
              <w:left w:w="15" w:type="dxa"/>
              <w:bottom w:w="0" w:type="dxa"/>
              <w:right w:w="15" w:type="dxa"/>
            </w:tcMar>
            <w:vAlign w:val="center"/>
            <w:hideMark/>
          </w:tcPr>
          <w:p w14:paraId="1261982A" w14:textId="77777777" w:rsidR="006D423F" w:rsidRDefault="006D423F">
            <w:r>
              <w:rPr>
                <w:b/>
                <w:bCs/>
                <w:color w:val="000000"/>
              </w:rPr>
              <w:t>Grade</w:t>
            </w:r>
          </w:p>
        </w:tc>
        <w:tc>
          <w:tcPr>
            <w:tcW w:w="1160" w:type="dxa"/>
            <w:tcBorders>
              <w:top w:val="single" w:sz="8" w:space="0" w:color="000000"/>
              <w:left w:val="nil"/>
              <w:bottom w:val="single" w:sz="8" w:space="0" w:color="000000"/>
              <w:right w:val="single" w:sz="8" w:space="0" w:color="FFFFFF"/>
            </w:tcBorders>
            <w:shd w:val="clear" w:color="auto" w:fill="006550"/>
            <w:tcMar>
              <w:top w:w="10" w:type="dxa"/>
              <w:left w:w="10" w:type="dxa"/>
              <w:bottom w:w="0" w:type="dxa"/>
              <w:right w:w="10" w:type="dxa"/>
            </w:tcMar>
            <w:vAlign w:val="center"/>
            <w:hideMark/>
          </w:tcPr>
          <w:p w14:paraId="45172E0B" w14:textId="77777777" w:rsidR="006D423F" w:rsidRDefault="006D423F">
            <w:r>
              <w:rPr>
                <w:b/>
                <w:bCs/>
                <w:color w:val="000000"/>
              </w:rPr>
              <w:t>Current Midpoint</w:t>
            </w:r>
          </w:p>
        </w:tc>
        <w:tc>
          <w:tcPr>
            <w:tcW w:w="1160" w:type="dxa"/>
            <w:tcBorders>
              <w:top w:val="single" w:sz="8" w:space="0" w:color="000000"/>
              <w:left w:val="nil"/>
              <w:bottom w:val="single" w:sz="8" w:space="0" w:color="000000"/>
              <w:right w:val="single" w:sz="8" w:space="0" w:color="FFFFFF"/>
            </w:tcBorders>
            <w:shd w:val="clear" w:color="auto" w:fill="006550"/>
            <w:tcMar>
              <w:top w:w="10" w:type="dxa"/>
              <w:left w:w="10" w:type="dxa"/>
              <w:bottom w:w="0" w:type="dxa"/>
              <w:right w:w="10" w:type="dxa"/>
            </w:tcMar>
            <w:vAlign w:val="center"/>
            <w:hideMark/>
          </w:tcPr>
          <w:p w14:paraId="254E2AF9" w14:textId="77777777" w:rsidR="006D423F" w:rsidRDefault="006D423F">
            <w:r>
              <w:rPr>
                <w:b/>
                <w:bCs/>
                <w:color w:val="000000"/>
              </w:rPr>
              <w:t>Proposed 75</w:t>
            </w:r>
            <w:proofErr w:type="gramStart"/>
            <w:r>
              <w:rPr>
                <w:b/>
                <w:bCs/>
                <w:color w:val="000000"/>
              </w:rPr>
              <w:t>%  Minimum</w:t>
            </w:r>
            <w:proofErr w:type="gramEnd"/>
          </w:p>
        </w:tc>
        <w:tc>
          <w:tcPr>
            <w:tcW w:w="1160" w:type="dxa"/>
            <w:tcBorders>
              <w:top w:val="single" w:sz="8" w:space="0" w:color="000000"/>
              <w:left w:val="nil"/>
              <w:bottom w:val="single" w:sz="8" w:space="0" w:color="000000"/>
              <w:right w:val="single" w:sz="8" w:space="0" w:color="FFFFFF"/>
            </w:tcBorders>
            <w:shd w:val="clear" w:color="auto" w:fill="006550"/>
            <w:tcMar>
              <w:top w:w="10" w:type="dxa"/>
              <w:left w:w="10" w:type="dxa"/>
              <w:bottom w:w="0" w:type="dxa"/>
              <w:right w:w="10" w:type="dxa"/>
            </w:tcMar>
            <w:vAlign w:val="center"/>
            <w:hideMark/>
          </w:tcPr>
          <w:p w14:paraId="42D3572B" w14:textId="77777777" w:rsidR="006D423F" w:rsidRDefault="006D423F">
            <w:r>
              <w:rPr>
                <w:b/>
                <w:bCs/>
                <w:color w:val="000000"/>
              </w:rPr>
              <w:t>Proposed Midpoint</w:t>
            </w:r>
          </w:p>
        </w:tc>
        <w:tc>
          <w:tcPr>
            <w:tcW w:w="1160" w:type="dxa"/>
            <w:tcBorders>
              <w:top w:val="single" w:sz="8" w:space="0" w:color="000000"/>
              <w:left w:val="nil"/>
              <w:bottom w:val="single" w:sz="8" w:space="0" w:color="000000"/>
              <w:right w:val="single" w:sz="8" w:space="0" w:color="FFFFFF"/>
            </w:tcBorders>
            <w:shd w:val="clear" w:color="auto" w:fill="006550"/>
            <w:tcMar>
              <w:top w:w="10" w:type="dxa"/>
              <w:left w:w="10" w:type="dxa"/>
              <w:bottom w:w="0" w:type="dxa"/>
              <w:right w:w="10" w:type="dxa"/>
            </w:tcMar>
            <w:vAlign w:val="center"/>
            <w:hideMark/>
          </w:tcPr>
          <w:p w14:paraId="40C3D5C0" w14:textId="77777777" w:rsidR="006D423F" w:rsidRDefault="006D423F">
            <w:r>
              <w:rPr>
                <w:b/>
                <w:bCs/>
                <w:color w:val="000000"/>
              </w:rPr>
              <w:t>Proposed 150% Maximum</w:t>
            </w:r>
          </w:p>
        </w:tc>
        <w:tc>
          <w:tcPr>
            <w:tcW w:w="980" w:type="dxa"/>
            <w:tcBorders>
              <w:top w:val="single" w:sz="8" w:space="0" w:color="000000"/>
              <w:left w:val="nil"/>
              <w:bottom w:val="single" w:sz="8" w:space="0" w:color="000000"/>
              <w:right w:val="single" w:sz="8" w:space="0" w:color="000000"/>
            </w:tcBorders>
            <w:shd w:val="clear" w:color="auto" w:fill="006550"/>
            <w:tcMar>
              <w:top w:w="10" w:type="dxa"/>
              <w:left w:w="10" w:type="dxa"/>
              <w:bottom w:w="0" w:type="dxa"/>
              <w:right w:w="10" w:type="dxa"/>
            </w:tcMar>
            <w:vAlign w:val="center"/>
            <w:hideMark/>
          </w:tcPr>
          <w:p w14:paraId="33EC0B61" w14:textId="77777777" w:rsidR="006D423F" w:rsidRDefault="006D423F">
            <w:r>
              <w:rPr>
                <w:b/>
                <w:bCs/>
                <w:color w:val="000000"/>
              </w:rPr>
              <w:t xml:space="preserve">% </w:t>
            </w:r>
            <w:proofErr w:type="gramStart"/>
            <w:r>
              <w:rPr>
                <w:b/>
                <w:bCs/>
                <w:color w:val="000000"/>
              </w:rPr>
              <w:t>change</w:t>
            </w:r>
            <w:proofErr w:type="gramEnd"/>
          </w:p>
        </w:tc>
        <w:tc>
          <w:tcPr>
            <w:tcW w:w="100" w:type="dxa"/>
            <w:tcBorders>
              <w:top w:val="nil"/>
              <w:left w:val="nil"/>
              <w:bottom w:val="nil"/>
              <w:right w:val="single" w:sz="8" w:space="0" w:color="000000"/>
            </w:tcBorders>
            <w:tcMar>
              <w:top w:w="10" w:type="dxa"/>
              <w:left w:w="10" w:type="dxa"/>
              <w:bottom w:w="0" w:type="dxa"/>
              <w:right w:w="10" w:type="dxa"/>
            </w:tcMar>
            <w:vAlign w:val="center"/>
            <w:hideMark/>
          </w:tcPr>
          <w:p w14:paraId="017D5FE9" w14:textId="77777777" w:rsidR="006D423F" w:rsidRDefault="006D423F"/>
        </w:tc>
        <w:tc>
          <w:tcPr>
            <w:tcW w:w="980" w:type="dxa"/>
            <w:tcBorders>
              <w:top w:val="single" w:sz="8" w:space="0" w:color="000000"/>
              <w:left w:val="nil"/>
              <w:bottom w:val="single" w:sz="8" w:space="0" w:color="000000"/>
              <w:right w:val="single" w:sz="8" w:space="0" w:color="000000"/>
            </w:tcBorders>
            <w:shd w:val="clear" w:color="auto" w:fill="006550"/>
            <w:tcMar>
              <w:top w:w="10" w:type="dxa"/>
              <w:left w:w="10" w:type="dxa"/>
              <w:bottom w:w="0" w:type="dxa"/>
              <w:right w:w="10" w:type="dxa"/>
            </w:tcMar>
            <w:vAlign w:val="center"/>
            <w:hideMark/>
          </w:tcPr>
          <w:p w14:paraId="41D50EB0" w14:textId="77777777" w:rsidR="006D423F" w:rsidRDefault="006D423F">
            <w:r>
              <w:rPr>
                <w:b/>
                <w:bCs/>
                <w:color w:val="000000"/>
              </w:rPr>
              <w:t xml:space="preserve">% </w:t>
            </w:r>
            <w:proofErr w:type="gramStart"/>
            <w:r>
              <w:rPr>
                <w:b/>
                <w:bCs/>
                <w:color w:val="000000"/>
              </w:rPr>
              <w:t>from</w:t>
            </w:r>
            <w:proofErr w:type="gramEnd"/>
            <w:r>
              <w:rPr>
                <w:b/>
                <w:bCs/>
                <w:color w:val="000000"/>
              </w:rPr>
              <w:t xml:space="preserve"> P25</w:t>
            </w:r>
          </w:p>
        </w:tc>
        <w:tc>
          <w:tcPr>
            <w:tcW w:w="100" w:type="dxa"/>
            <w:tcBorders>
              <w:top w:val="nil"/>
              <w:left w:val="nil"/>
              <w:bottom w:val="nil"/>
              <w:right w:val="single" w:sz="8" w:space="0" w:color="000000"/>
            </w:tcBorders>
            <w:tcMar>
              <w:top w:w="10" w:type="dxa"/>
              <w:left w:w="10" w:type="dxa"/>
              <w:bottom w:w="0" w:type="dxa"/>
              <w:right w:w="10" w:type="dxa"/>
            </w:tcMar>
            <w:vAlign w:val="center"/>
            <w:hideMark/>
          </w:tcPr>
          <w:p w14:paraId="25A153C0" w14:textId="77777777" w:rsidR="006D423F" w:rsidRDefault="006D423F"/>
        </w:tc>
        <w:tc>
          <w:tcPr>
            <w:tcW w:w="1120" w:type="dxa"/>
            <w:tcBorders>
              <w:top w:val="single" w:sz="8" w:space="0" w:color="000000"/>
              <w:left w:val="nil"/>
              <w:bottom w:val="single" w:sz="8" w:space="0" w:color="000000"/>
              <w:right w:val="single" w:sz="8" w:space="0" w:color="000000"/>
            </w:tcBorders>
            <w:shd w:val="clear" w:color="auto" w:fill="006550"/>
            <w:tcMar>
              <w:top w:w="10" w:type="dxa"/>
              <w:left w:w="10" w:type="dxa"/>
              <w:bottom w:w="0" w:type="dxa"/>
              <w:right w:w="10" w:type="dxa"/>
            </w:tcMar>
            <w:vAlign w:val="center"/>
            <w:hideMark/>
          </w:tcPr>
          <w:p w14:paraId="3916BB93" w14:textId="77777777" w:rsidR="006D423F" w:rsidRDefault="006D423F">
            <w:r>
              <w:rPr>
                <w:b/>
                <w:bCs/>
                <w:color w:val="000000"/>
              </w:rPr>
              <w:t xml:space="preserve">Resulting </w:t>
            </w:r>
            <w:proofErr w:type="spellStart"/>
            <w:r>
              <w:rPr>
                <w:b/>
                <w:bCs/>
                <w:color w:val="000000"/>
              </w:rPr>
              <w:t>Compa</w:t>
            </w:r>
            <w:proofErr w:type="spellEnd"/>
            <w:r>
              <w:rPr>
                <w:b/>
                <w:bCs/>
                <w:color w:val="000000"/>
              </w:rPr>
              <w:t>-Ratio</w:t>
            </w:r>
          </w:p>
        </w:tc>
      </w:tr>
      <w:tr w:rsidR="006D423F" w14:paraId="06B8A046" w14:textId="77777777" w:rsidTr="006D423F">
        <w:trPr>
          <w:trHeight w:val="316"/>
        </w:trPr>
        <w:tc>
          <w:tcPr>
            <w:tcW w:w="72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48E2681" w14:textId="77777777" w:rsidR="006D423F" w:rsidRDefault="006D423F">
            <w:r>
              <w:t>V</w:t>
            </w:r>
          </w:p>
        </w:tc>
        <w:tc>
          <w:tcPr>
            <w:tcW w:w="1160" w:type="dxa"/>
            <w:tcBorders>
              <w:top w:val="nil"/>
              <w:left w:val="nil"/>
              <w:bottom w:val="single" w:sz="8" w:space="0" w:color="000000"/>
              <w:right w:val="single" w:sz="18" w:space="0" w:color="000000"/>
            </w:tcBorders>
            <w:tcMar>
              <w:top w:w="15" w:type="dxa"/>
              <w:left w:w="15" w:type="dxa"/>
              <w:bottom w:w="0" w:type="dxa"/>
              <w:right w:w="15" w:type="dxa"/>
            </w:tcMar>
            <w:vAlign w:val="center"/>
            <w:hideMark/>
          </w:tcPr>
          <w:p w14:paraId="1C6806BF" w14:textId="77777777" w:rsidR="006D423F" w:rsidRDefault="006D423F">
            <w:r>
              <w:t>$203,549</w:t>
            </w:r>
          </w:p>
        </w:tc>
        <w:tc>
          <w:tcPr>
            <w:tcW w:w="1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DD785BB" w14:textId="77777777" w:rsidR="006D423F" w:rsidRDefault="006D423F">
            <w:r>
              <w:t>$168,750</w:t>
            </w:r>
          </w:p>
        </w:tc>
        <w:tc>
          <w:tcPr>
            <w:tcW w:w="1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032478D" w14:textId="77777777" w:rsidR="006D423F" w:rsidRDefault="006D423F">
            <w:r>
              <w:t>$225,000</w:t>
            </w:r>
          </w:p>
        </w:tc>
        <w:tc>
          <w:tcPr>
            <w:tcW w:w="1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3EFC64A" w14:textId="77777777" w:rsidR="006D423F" w:rsidRDefault="006D423F">
            <w:r>
              <w:t>$337,500</w:t>
            </w:r>
          </w:p>
        </w:tc>
        <w:tc>
          <w:tcPr>
            <w:tcW w:w="9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096C518" w14:textId="77777777" w:rsidR="006D423F" w:rsidRDefault="006D423F">
            <w:r>
              <w:t>10.5%</w:t>
            </w:r>
          </w:p>
        </w:tc>
        <w:tc>
          <w:tcPr>
            <w:tcW w:w="100" w:type="dxa"/>
            <w:tcBorders>
              <w:top w:val="nil"/>
              <w:left w:val="nil"/>
              <w:bottom w:val="nil"/>
              <w:right w:val="single" w:sz="8" w:space="0" w:color="000000"/>
            </w:tcBorders>
            <w:tcMar>
              <w:top w:w="15" w:type="dxa"/>
              <w:left w:w="15" w:type="dxa"/>
              <w:bottom w:w="0" w:type="dxa"/>
              <w:right w:w="15" w:type="dxa"/>
            </w:tcMar>
            <w:vAlign w:val="center"/>
            <w:hideMark/>
          </w:tcPr>
          <w:p w14:paraId="63141D1B" w14:textId="77777777" w:rsidR="006D423F" w:rsidRDefault="006D423F"/>
        </w:tc>
        <w:tc>
          <w:tcPr>
            <w:tcW w:w="9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5AD8A86" w14:textId="77777777" w:rsidR="006D423F" w:rsidRDefault="006D423F">
            <w:r>
              <w:t>-14%</w:t>
            </w:r>
          </w:p>
        </w:tc>
        <w:tc>
          <w:tcPr>
            <w:tcW w:w="100" w:type="dxa"/>
            <w:tcBorders>
              <w:top w:val="nil"/>
              <w:left w:val="nil"/>
              <w:bottom w:val="nil"/>
              <w:right w:val="single" w:sz="8" w:space="0" w:color="000000"/>
            </w:tcBorders>
            <w:tcMar>
              <w:top w:w="15" w:type="dxa"/>
              <w:left w:w="15" w:type="dxa"/>
              <w:bottom w:w="0" w:type="dxa"/>
              <w:right w:w="15" w:type="dxa"/>
            </w:tcMar>
            <w:vAlign w:val="center"/>
            <w:hideMark/>
          </w:tcPr>
          <w:p w14:paraId="3DA7F7DE" w14:textId="77777777" w:rsidR="006D423F" w:rsidRDefault="006D423F"/>
        </w:tc>
        <w:tc>
          <w:tcPr>
            <w:tcW w:w="1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FDCDA89" w14:textId="77777777" w:rsidR="006D423F" w:rsidRDefault="006D423F">
            <w:r>
              <w:t>107%</w:t>
            </w:r>
          </w:p>
        </w:tc>
      </w:tr>
      <w:tr w:rsidR="006D423F" w14:paraId="6B59B71C" w14:textId="77777777" w:rsidTr="006D423F">
        <w:trPr>
          <w:trHeight w:val="316"/>
        </w:trPr>
        <w:tc>
          <w:tcPr>
            <w:tcW w:w="72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3E9637C" w14:textId="77777777" w:rsidR="006D423F" w:rsidRDefault="006D423F">
            <w:r>
              <w:t>T</w:t>
            </w:r>
          </w:p>
        </w:tc>
        <w:tc>
          <w:tcPr>
            <w:tcW w:w="1160" w:type="dxa"/>
            <w:tcBorders>
              <w:top w:val="nil"/>
              <w:left w:val="nil"/>
              <w:bottom w:val="single" w:sz="8" w:space="0" w:color="000000"/>
              <w:right w:val="single" w:sz="18" w:space="0" w:color="000000"/>
            </w:tcBorders>
            <w:tcMar>
              <w:top w:w="15" w:type="dxa"/>
              <w:left w:w="15" w:type="dxa"/>
              <w:bottom w:w="0" w:type="dxa"/>
              <w:right w:w="15" w:type="dxa"/>
            </w:tcMar>
            <w:vAlign w:val="center"/>
            <w:hideMark/>
          </w:tcPr>
          <w:p w14:paraId="5B9A85E1" w14:textId="77777777" w:rsidR="006D423F" w:rsidRDefault="006D423F">
            <w:r>
              <w:t>$156,707</w:t>
            </w:r>
          </w:p>
        </w:tc>
        <w:tc>
          <w:tcPr>
            <w:tcW w:w="1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20EF010" w14:textId="77777777" w:rsidR="006D423F" w:rsidRDefault="006D423F">
            <w:r>
              <w:t>$131,250</w:t>
            </w:r>
          </w:p>
        </w:tc>
        <w:tc>
          <w:tcPr>
            <w:tcW w:w="1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21C8229" w14:textId="77777777" w:rsidR="006D423F" w:rsidRDefault="006D423F">
            <w:r>
              <w:t>$175,000</w:t>
            </w:r>
          </w:p>
        </w:tc>
        <w:tc>
          <w:tcPr>
            <w:tcW w:w="1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ABA2B66" w14:textId="77777777" w:rsidR="006D423F" w:rsidRDefault="006D423F">
            <w:r>
              <w:t>$262,500</w:t>
            </w:r>
          </w:p>
        </w:tc>
        <w:tc>
          <w:tcPr>
            <w:tcW w:w="9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31FACFE" w14:textId="77777777" w:rsidR="006D423F" w:rsidRDefault="006D423F">
            <w:r>
              <w:t>11.7%</w:t>
            </w:r>
          </w:p>
        </w:tc>
        <w:tc>
          <w:tcPr>
            <w:tcW w:w="100" w:type="dxa"/>
            <w:tcBorders>
              <w:top w:val="nil"/>
              <w:left w:val="nil"/>
              <w:bottom w:val="nil"/>
              <w:right w:val="single" w:sz="8" w:space="0" w:color="000000"/>
            </w:tcBorders>
            <w:tcMar>
              <w:top w:w="15" w:type="dxa"/>
              <w:left w:w="15" w:type="dxa"/>
              <w:bottom w:w="0" w:type="dxa"/>
              <w:right w:w="15" w:type="dxa"/>
            </w:tcMar>
            <w:vAlign w:val="center"/>
            <w:hideMark/>
          </w:tcPr>
          <w:p w14:paraId="413C43F2" w14:textId="77777777" w:rsidR="006D423F" w:rsidRDefault="006D423F"/>
        </w:tc>
        <w:tc>
          <w:tcPr>
            <w:tcW w:w="9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007732E" w14:textId="77777777" w:rsidR="006D423F" w:rsidRDefault="006D423F">
            <w:r>
              <w:t>-8%</w:t>
            </w:r>
          </w:p>
        </w:tc>
        <w:tc>
          <w:tcPr>
            <w:tcW w:w="100" w:type="dxa"/>
            <w:tcBorders>
              <w:top w:val="nil"/>
              <w:left w:val="nil"/>
              <w:bottom w:val="nil"/>
              <w:right w:val="single" w:sz="8" w:space="0" w:color="000000"/>
            </w:tcBorders>
            <w:tcMar>
              <w:top w:w="15" w:type="dxa"/>
              <w:left w:w="15" w:type="dxa"/>
              <w:bottom w:w="0" w:type="dxa"/>
              <w:right w:w="15" w:type="dxa"/>
            </w:tcMar>
            <w:vAlign w:val="center"/>
            <w:hideMark/>
          </w:tcPr>
          <w:p w14:paraId="78DA847F" w14:textId="77777777" w:rsidR="006D423F" w:rsidRDefault="006D423F"/>
        </w:tc>
        <w:tc>
          <w:tcPr>
            <w:tcW w:w="1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21A05B4" w14:textId="77777777" w:rsidR="006D423F" w:rsidRDefault="006D423F">
            <w:r>
              <w:t>n/a</w:t>
            </w:r>
          </w:p>
        </w:tc>
      </w:tr>
      <w:tr w:rsidR="006D423F" w14:paraId="5FF07262" w14:textId="77777777" w:rsidTr="006D423F">
        <w:trPr>
          <w:trHeight w:val="316"/>
        </w:trPr>
        <w:tc>
          <w:tcPr>
            <w:tcW w:w="72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BD29C97" w14:textId="77777777" w:rsidR="006D423F" w:rsidRDefault="006D423F">
            <w:r>
              <w:t>R</w:t>
            </w:r>
          </w:p>
        </w:tc>
        <w:tc>
          <w:tcPr>
            <w:tcW w:w="1160" w:type="dxa"/>
            <w:tcBorders>
              <w:top w:val="nil"/>
              <w:left w:val="nil"/>
              <w:bottom w:val="single" w:sz="8" w:space="0" w:color="000000"/>
              <w:right w:val="single" w:sz="18" w:space="0" w:color="000000"/>
            </w:tcBorders>
            <w:tcMar>
              <w:top w:w="15" w:type="dxa"/>
              <w:left w:w="15" w:type="dxa"/>
              <w:bottom w:w="0" w:type="dxa"/>
              <w:right w:w="15" w:type="dxa"/>
            </w:tcMar>
            <w:vAlign w:val="center"/>
            <w:hideMark/>
          </w:tcPr>
          <w:p w14:paraId="09CE2A98" w14:textId="77777777" w:rsidR="006D423F" w:rsidRDefault="006D423F">
            <w:r>
              <w:t>$123,698</w:t>
            </w:r>
          </w:p>
        </w:tc>
        <w:tc>
          <w:tcPr>
            <w:tcW w:w="1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544C5B0" w14:textId="77777777" w:rsidR="006D423F" w:rsidRDefault="006D423F">
            <w:r>
              <w:t>$112,500</w:t>
            </w:r>
          </w:p>
        </w:tc>
        <w:tc>
          <w:tcPr>
            <w:tcW w:w="1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A60BAD0" w14:textId="77777777" w:rsidR="006D423F" w:rsidRDefault="006D423F">
            <w:r>
              <w:t>$150,000</w:t>
            </w:r>
          </w:p>
        </w:tc>
        <w:tc>
          <w:tcPr>
            <w:tcW w:w="1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BEBC182" w14:textId="77777777" w:rsidR="006D423F" w:rsidRDefault="006D423F">
            <w:r>
              <w:t>$225,000</w:t>
            </w:r>
          </w:p>
        </w:tc>
        <w:tc>
          <w:tcPr>
            <w:tcW w:w="9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E6B937C" w14:textId="77777777" w:rsidR="006D423F" w:rsidRDefault="006D423F">
            <w:r>
              <w:t>21.3%</w:t>
            </w:r>
          </w:p>
        </w:tc>
        <w:tc>
          <w:tcPr>
            <w:tcW w:w="100" w:type="dxa"/>
            <w:tcBorders>
              <w:top w:val="nil"/>
              <w:left w:val="nil"/>
              <w:bottom w:val="nil"/>
              <w:right w:val="single" w:sz="8" w:space="0" w:color="000000"/>
            </w:tcBorders>
            <w:tcMar>
              <w:top w:w="15" w:type="dxa"/>
              <w:left w:w="15" w:type="dxa"/>
              <w:bottom w:w="0" w:type="dxa"/>
              <w:right w:w="15" w:type="dxa"/>
            </w:tcMar>
            <w:vAlign w:val="center"/>
            <w:hideMark/>
          </w:tcPr>
          <w:p w14:paraId="1005CE3F" w14:textId="77777777" w:rsidR="006D423F" w:rsidRDefault="006D423F"/>
        </w:tc>
        <w:tc>
          <w:tcPr>
            <w:tcW w:w="9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9C60454" w14:textId="77777777" w:rsidR="006D423F" w:rsidRDefault="006D423F">
            <w:r>
              <w:t>-4%</w:t>
            </w:r>
          </w:p>
        </w:tc>
        <w:tc>
          <w:tcPr>
            <w:tcW w:w="100" w:type="dxa"/>
            <w:tcBorders>
              <w:top w:val="nil"/>
              <w:left w:val="nil"/>
              <w:bottom w:val="nil"/>
              <w:right w:val="single" w:sz="8" w:space="0" w:color="000000"/>
            </w:tcBorders>
            <w:tcMar>
              <w:top w:w="15" w:type="dxa"/>
              <w:left w:w="15" w:type="dxa"/>
              <w:bottom w:w="0" w:type="dxa"/>
              <w:right w:w="15" w:type="dxa"/>
            </w:tcMar>
            <w:vAlign w:val="center"/>
            <w:hideMark/>
          </w:tcPr>
          <w:p w14:paraId="4CA0E242" w14:textId="77777777" w:rsidR="006D423F" w:rsidRDefault="006D423F"/>
        </w:tc>
        <w:tc>
          <w:tcPr>
            <w:tcW w:w="1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314CC5A" w14:textId="77777777" w:rsidR="006D423F" w:rsidRDefault="006D423F">
            <w:r>
              <w:t>n/a</w:t>
            </w:r>
          </w:p>
        </w:tc>
      </w:tr>
      <w:tr w:rsidR="006D423F" w14:paraId="4439335D" w14:textId="77777777" w:rsidTr="006D423F">
        <w:trPr>
          <w:trHeight w:val="316"/>
        </w:trPr>
        <w:tc>
          <w:tcPr>
            <w:tcW w:w="72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66103B4" w14:textId="77777777" w:rsidR="006D423F" w:rsidRDefault="006D423F">
            <w:r>
              <w:t>Q</w:t>
            </w:r>
          </w:p>
        </w:tc>
        <w:tc>
          <w:tcPr>
            <w:tcW w:w="1160" w:type="dxa"/>
            <w:tcBorders>
              <w:top w:val="nil"/>
              <w:left w:val="nil"/>
              <w:bottom w:val="single" w:sz="8" w:space="0" w:color="000000"/>
              <w:right w:val="single" w:sz="18" w:space="0" w:color="000000"/>
            </w:tcBorders>
            <w:tcMar>
              <w:top w:w="15" w:type="dxa"/>
              <w:left w:w="15" w:type="dxa"/>
              <w:bottom w:w="0" w:type="dxa"/>
              <w:right w:w="15" w:type="dxa"/>
            </w:tcMar>
            <w:vAlign w:val="center"/>
            <w:hideMark/>
          </w:tcPr>
          <w:p w14:paraId="72D7CBA8" w14:textId="77777777" w:rsidR="006D423F" w:rsidRDefault="006D423F">
            <w:r>
              <w:t>$111,509</w:t>
            </w:r>
          </w:p>
        </w:tc>
        <w:tc>
          <w:tcPr>
            <w:tcW w:w="1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BACDFDE" w14:textId="77777777" w:rsidR="006D423F" w:rsidRDefault="006D423F">
            <w:r>
              <w:t>$97,500</w:t>
            </w:r>
          </w:p>
        </w:tc>
        <w:tc>
          <w:tcPr>
            <w:tcW w:w="1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21540F6" w14:textId="77777777" w:rsidR="006D423F" w:rsidRDefault="006D423F">
            <w:r>
              <w:t>$130,000</w:t>
            </w:r>
          </w:p>
        </w:tc>
        <w:tc>
          <w:tcPr>
            <w:tcW w:w="1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469D3C4" w14:textId="77777777" w:rsidR="006D423F" w:rsidRDefault="006D423F">
            <w:r>
              <w:t>$195,000</w:t>
            </w:r>
          </w:p>
        </w:tc>
        <w:tc>
          <w:tcPr>
            <w:tcW w:w="9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AEDDB18" w14:textId="77777777" w:rsidR="006D423F" w:rsidRDefault="006D423F">
            <w:r>
              <w:t>16.6%</w:t>
            </w:r>
          </w:p>
        </w:tc>
        <w:tc>
          <w:tcPr>
            <w:tcW w:w="100" w:type="dxa"/>
            <w:tcBorders>
              <w:top w:val="nil"/>
              <w:left w:val="nil"/>
              <w:bottom w:val="nil"/>
              <w:right w:val="single" w:sz="8" w:space="0" w:color="000000"/>
            </w:tcBorders>
            <w:tcMar>
              <w:top w:w="15" w:type="dxa"/>
              <w:left w:w="15" w:type="dxa"/>
              <w:bottom w:w="0" w:type="dxa"/>
              <w:right w:w="15" w:type="dxa"/>
            </w:tcMar>
            <w:vAlign w:val="center"/>
            <w:hideMark/>
          </w:tcPr>
          <w:p w14:paraId="11FB2035" w14:textId="77777777" w:rsidR="006D423F" w:rsidRDefault="006D423F"/>
        </w:tc>
        <w:tc>
          <w:tcPr>
            <w:tcW w:w="9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A0F47B9" w14:textId="77777777" w:rsidR="006D423F" w:rsidRDefault="006D423F">
            <w:r>
              <w:t>-18%</w:t>
            </w:r>
          </w:p>
        </w:tc>
        <w:tc>
          <w:tcPr>
            <w:tcW w:w="100" w:type="dxa"/>
            <w:tcBorders>
              <w:top w:val="nil"/>
              <w:left w:val="nil"/>
              <w:bottom w:val="nil"/>
              <w:right w:val="single" w:sz="8" w:space="0" w:color="000000"/>
            </w:tcBorders>
            <w:tcMar>
              <w:top w:w="15" w:type="dxa"/>
              <w:left w:w="15" w:type="dxa"/>
              <w:bottom w:w="0" w:type="dxa"/>
              <w:right w:w="15" w:type="dxa"/>
            </w:tcMar>
            <w:vAlign w:val="center"/>
            <w:hideMark/>
          </w:tcPr>
          <w:p w14:paraId="673F866E" w14:textId="77777777" w:rsidR="006D423F" w:rsidRDefault="006D423F"/>
        </w:tc>
        <w:tc>
          <w:tcPr>
            <w:tcW w:w="1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B151E54" w14:textId="77777777" w:rsidR="006D423F" w:rsidRDefault="006D423F">
            <w:r>
              <w:t>96%</w:t>
            </w:r>
          </w:p>
        </w:tc>
      </w:tr>
      <w:tr w:rsidR="006D423F" w14:paraId="6CDD4856" w14:textId="77777777" w:rsidTr="006D423F">
        <w:trPr>
          <w:trHeight w:val="316"/>
        </w:trPr>
        <w:tc>
          <w:tcPr>
            <w:tcW w:w="72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1744F20" w14:textId="77777777" w:rsidR="006D423F" w:rsidRDefault="006D423F">
            <w:r>
              <w:t>P</w:t>
            </w:r>
          </w:p>
        </w:tc>
        <w:tc>
          <w:tcPr>
            <w:tcW w:w="1160" w:type="dxa"/>
            <w:tcBorders>
              <w:top w:val="nil"/>
              <w:left w:val="nil"/>
              <w:bottom w:val="single" w:sz="8" w:space="0" w:color="000000"/>
              <w:right w:val="single" w:sz="18" w:space="0" w:color="000000"/>
            </w:tcBorders>
            <w:tcMar>
              <w:top w:w="15" w:type="dxa"/>
              <w:left w:w="15" w:type="dxa"/>
              <w:bottom w:w="0" w:type="dxa"/>
              <w:right w:w="15" w:type="dxa"/>
            </w:tcMar>
            <w:vAlign w:val="center"/>
            <w:hideMark/>
          </w:tcPr>
          <w:p w14:paraId="460C5E62" w14:textId="77777777" w:rsidR="006D423F" w:rsidRDefault="006D423F">
            <w:r>
              <w:t>$101,317</w:t>
            </w:r>
          </w:p>
        </w:tc>
        <w:tc>
          <w:tcPr>
            <w:tcW w:w="1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38DB4AF" w14:textId="77777777" w:rsidR="006D423F" w:rsidRDefault="006D423F">
            <w:r>
              <w:t>$84,750</w:t>
            </w:r>
          </w:p>
        </w:tc>
        <w:tc>
          <w:tcPr>
            <w:tcW w:w="1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E598AAB" w14:textId="77777777" w:rsidR="006D423F" w:rsidRDefault="006D423F">
            <w:r>
              <w:t>$113,000</w:t>
            </w:r>
          </w:p>
        </w:tc>
        <w:tc>
          <w:tcPr>
            <w:tcW w:w="1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C29ADF1" w14:textId="77777777" w:rsidR="006D423F" w:rsidRDefault="006D423F">
            <w:r>
              <w:t>$169,500</w:t>
            </w:r>
          </w:p>
        </w:tc>
        <w:tc>
          <w:tcPr>
            <w:tcW w:w="9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602DF00" w14:textId="77777777" w:rsidR="006D423F" w:rsidRDefault="006D423F">
            <w:r>
              <w:t>11.5%</w:t>
            </w:r>
          </w:p>
        </w:tc>
        <w:tc>
          <w:tcPr>
            <w:tcW w:w="100" w:type="dxa"/>
            <w:tcBorders>
              <w:top w:val="nil"/>
              <w:left w:val="nil"/>
              <w:bottom w:val="nil"/>
              <w:right w:val="single" w:sz="8" w:space="0" w:color="000000"/>
            </w:tcBorders>
            <w:tcMar>
              <w:top w:w="15" w:type="dxa"/>
              <w:left w:w="15" w:type="dxa"/>
              <w:bottom w:w="0" w:type="dxa"/>
              <w:right w:w="15" w:type="dxa"/>
            </w:tcMar>
            <w:vAlign w:val="center"/>
            <w:hideMark/>
          </w:tcPr>
          <w:p w14:paraId="7731E4C7" w14:textId="77777777" w:rsidR="006D423F" w:rsidRDefault="006D423F"/>
        </w:tc>
        <w:tc>
          <w:tcPr>
            <w:tcW w:w="9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022A811" w14:textId="77777777" w:rsidR="006D423F" w:rsidRDefault="006D423F">
            <w:r>
              <w:t>-16%</w:t>
            </w:r>
          </w:p>
        </w:tc>
        <w:tc>
          <w:tcPr>
            <w:tcW w:w="100" w:type="dxa"/>
            <w:tcBorders>
              <w:top w:val="nil"/>
              <w:left w:val="nil"/>
              <w:bottom w:val="nil"/>
              <w:right w:val="single" w:sz="8" w:space="0" w:color="000000"/>
            </w:tcBorders>
            <w:tcMar>
              <w:top w:w="15" w:type="dxa"/>
              <w:left w:w="15" w:type="dxa"/>
              <w:bottom w:w="0" w:type="dxa"/>
              <w:right w:w="15" w:type="dxa"/>
            </w:tcMar>
            <w:vAlign w:val="center"/>
            <w:hideMark/>
          </w:tcPr>
          <w:p w14:paraId="5C968517" w14:textId="77777777" w:rsidR="006D423F" w:rsidRDefault="006D423F"/>
        </w:tc>
        <w:tc>
          <w:tcPr>
            <w:tcW w:w="1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57CB94C" w14:textId="77777777" w:rsidR="006D423F" w:rsidRDefault="006D423F">
            <w:r>
              <w:t>90%</w:t>
            </w:r>
          </w:p>
        </w:tc>
      </w:tr>
      <w:tr w:rsidR="006D423F" w14:paraId="223A03EE" w14:textId="77777777" w:rsidTr="006D423F">
        <w:trPr>
          <w:trHeight w:val="316"/>
        </w:trPr>
        <w:tc>
          <w:tcPr>
            <w:tcW w:w="72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02D0022" w14:textId="77777777" w:rsidR="006D423F" w:rsidRDefault="006D423F">
            <w:r>
              <w:t>O</w:t>
            </w:r>
          </w:p>
        </w:tc>
        <w:tc>
          <w:tcPr>
            <w:tcW w:w="1160" w:type="dxa"/>
            <w:tcBorders>
              <w:top w:val="nil"/>
              <w:left w:val="nil"/>
              <w:bottom w:val="single" w:sz="8" w:space="0" w:color="000000"/>
              <w:right w:val="single" w:sz="18" w:space="0" w:color="000000"/>
            </w:tcBorders>
            <w:tcMar>
              <w:top w:w="15" w:type="dxa"/>
              <w:left w:w="15" w:type="dxa"/>
              <w:bottom w:w="0" w:type="dxa"/>
              <w:right w:w="15" w:type="dxa"/>
            </w:tcMar>
            <w:vAlign w:val="center"/>
            <w:hideMark/>
          </w:tcPr>
          <w:p w14:paraId="596AD99D" w14:textId="77777777" w:rsidR="006D423F" w:rsidRDefault="006D423F">
            <w:r>
              <w:t>$92,643</w:t>
            </w:r>
          </w:p>
        </w:tc>
        <w:tc>
          <w:tcPr>
            <w:tcW w:w="1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32B3DE4" w14:textId="77777777" w:rsidR="006D423F" w:rsidRDefault="006D423F">
            <w:r>
              <w:t>$74,550</w:t>
            </w:r>
          </w:p>
        </w:tc>
        <w:tc>
          <w:tcPr>
            <w:tcW w:w="1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CF24498" w14:textId="77777777" w:rsidR="006D423F" w:rsidRDefault="006D423F">
            <w:r>
              <w:t>$99,400</w:t>
            </w:r>
          </w:p>
        </w:tc>
        <w:tc>
          <w:tcPr>
            <w:tcW w:w="1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53E634B" w14:textId="77777777" w:rsidR="006D423F" w:rsidRDefault="006D423F">
            <w:r>
              <w:t>$149,100</w:t>
            </w:r>
          </w:p>
        </w:tc>
        <w:tc>
          <w:tcPr>
            <w:tcW w:w="9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574198C" w14:textId="77777777" w:rsidR="006D423F" w:rsidRDefault="006D423F">
            <w:r>
              <w:t>7.3%</w:t>
            </w:r>
          </w:p>
        </w:tc>
        <w:tc>
          <w:tcPr>
            <w:tcW w:w="100" w:type="dxa"/>
            <w:tcBorders>
              <w:top w:val="nil"/>
              <w:left w:val="nil"/>
              <w:bottom w:val="nil"/>
              <w:right w:val="single" w:sz="8" w:space="0" w:color="000000"/>
            </w:tcBorders>
            <w:tcMar>
              <w:top w:w="15" w:type="dxa"/>
              <w:left w:w="15" w:type="dxa"/>
              <w:bottom w:w="0" w:type="dxa"/>
              <w:right w:w="15" w:type="dxa"/>
            </w:tcMar>
            <w:vAlign w:val="center"/>
            <w:hideMark/>
          </w:tcPr>
          <w:p w14:paraId="6204FFE0" w14:textId="77777777" w:rsidR="006D423F" w:rsidRDefault="006D423F"/>
        </w:tc>
        <w:tc>
          <w:tcPr>
            <w:tcW w:w="9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4D9236A" w14:textId="77777777" w:rsidR="006D423F" w:rsidRDefault="006D423F">
            <w:r>
              <w:t>-13%</w:t>
            </w:r>
          </w:p>
        </w:tc>
        <w:tc>
          <w:tcPr>
            <w:tcW w:w="100" w:type="dxa"/>
            <w:tcBorders>
              <w:top w:val="nil"/>
              <w:left w:val="nil"/>
              <w:bottom w:val="nil"/>
              <w:right w:val="single" w:sz="8" w:space="0" w:color="000000"/>
            </w:tcBorders>
            <w:tcMar>
              <w:top w:w="15" w:type="dxa"/>
              <w:left w:w="15" w:type="dxa"/>
              <w:bottom w:w="0" w:type="dxa"/>
              <w:right w:w="15" w:type="dxa"/>
            </w:tcMar>
            <w:vAlign w:val="center"/>
            <w:hideMark/>
          </w:tcPr>
          <w:p w14:paraId="4930A10E" w14:textId="77777777" w:rsidR="006D423F" w:rsidRDefault="006D423F"/>
        </w:tc>
        <w:tc>
          <w:tcPr>
            <w:tcW w:w="1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99F6030" w14:textId="77777777" w:rsidR="006D423F" w:rsidRDefault="006D423F">
            <w:r>
              <w:t>89%</w:t>
            </w:r>
          </w:p>
        </w:tc>
      </w:tr>
      <w:tr w:rsidR="006D423F" w14:paraId="5D2B8747" w14:textId="77777777" w:rsidTr="006D423F">
        <w:trPr>
          <w:trHeight w:val="316"/>
        </w:trPr>
        <w:tc>
          <w:tcPr>
            <w:tcW w:w="72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6B589EB" w14:textId="77777777" w:rsidR="006D423F" w:rsidRDefault="006D423F">
            <w:r>
              <w:t>N</w:t>
            </w:r>
          </w:p>
        </w:tc>
        <w:tc>
          <w:tcPr>
            <w:tcW w:w="1160" w:type="dxa"/>
            <w:tcBorders>
              <w:top w:val="nil"/>
              <w:left w:val="nil"/>
              <w:bottom w:val="single" w:sz="8" w:space="0" w:color="000000"/>
              <w:right w:val="single" w:sz="18" w:space="0" w:color="000000"/>
            </w:tcBorders>
            <w:tcMar>
              <w:top w:w="15" w:type="dxa"/>
              <w:left w:w="15" w:type="dxa"/>
              <w:bottom w:w="0" w:type="dxa"/>
              <w:right w:w="15" w:type="dxa"/>
            </w:tcMar>
            <w:vAlign w:val="center"/>
            <w:hideMark/>
          </w:tcPr>
          <w:p w14:paraId="1D78C8A7" w14:textId="77777777" w:rsidR="006D423F" w:rsidRDefault="006D423F">
            <w:r>
              <w:t>$85,488</w:t>
            </w:r>
          </w:p>
        </w:tc>
        <w:tc>
          <w:tcPr>
            <w:tcW w:w="1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DB65EB3" w14:textId="77777777" w:rsidR="006D423F" w:rsidRDefault="006D423F">
            <w:r>
              <w:t>$66,225</w:t>
            </w:r>
          </w:p>
        </w:tc>
        <w:tc>
          <w:tcPr>
            <w:tcW w:w="1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85BBD11" w14:textId="77777777" w:rsidR="006D423F" w:rsidRDefault="006D423F">
            <w:r>
              <w:t>$88,300</w:t>
            </w:r>
          </w:p>
        </w:tc>
        <w:tc>
          <w:tcPr>
            <w:tcW w:w="1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270E5F5" w14:textId="77777777" w:rsidR="006D423F" w:rsidRDefault="006D423F">
            <w:r>
              <w:t>$132,450</w:t>
            </w:r>
          </w:p>
        </w:tc>
        <w:tc>
          <w:tcPr>
            <w:tcW w:w="9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032A500" w14:textId="77777777" w:rsidR="006D423F" w:rsidRDefault="006D423F">
            <w:r>
              <w:t>3.3%</w:t>
            </w:r>
          </w:p>
        </w:tc>
        <w:tc>
          <w:tcPr>
            <w:tcW w:w="100" w:type="dxa"/>
            <w:tcBorders>
              <w:top w:val="nil"/>
              <w:left w:val="nil"/>
              <w:bottom w:val="nil"/>
              <w:right w:val="single" w:sz="8" w:space="0" w:color="000000"/>
            </w:tcBorders>
            <w:tcMar>
              <w:top w:w="15" w:type="dxa"/>
              <w:left w:w="15" w:type="dxa"/>
              <w:bottom w:w="0" w:type="dxa"/>
              <w:right w:w="15" w:type="dxa"/>
            </w:tcMar>
            <w:vAlign w:val="center"/>
            <w:hideMark/>
          </w:tcPr>
          <w:p w14:paraId="01F09EEF" w14:textId="77777777" w:rsidR="006D423F" w:rsidRDefault="006D423F"/>
        </w:tc>
        <w:tc>
          <w:tcPr>
            <w:tcW w:w="9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70DF791" w14:textId="77777777" w:rsidR="006D423F" w:rsidRDefault="006D423F">
            <w:r>
              <w:t>-11%</w:t>
            </w:r>
          </w:p>
        </w:tc>
        <w:tc>
          <w:tcPr>
            <w:tcW w:w="100" w:type="dxa"/>
            <w:tcBorders>
              <w:top w:val="nil"/>
              <w:left w:val="nil"/>
              <w:bottom w:val="nil"/>
              <w:right w:val="single" w:sz="8" w:space="0" w:color="000000"/>
            </w:tcBorders>
            <w:tcMar>
              <w:top w:w="15" w:type="dxa"/>
              <w:left w:w="15" w:type="dxa"/>
              <w:bottom w:w="0" w:type="dxa"/>
              <w:right w:w="15" w:type="dxa"/>
            </w:tcMar>
            <w:vAlign w:val="center"/>
            <w:hideMark/>
          </w:tcPr>
          <w:p w14:paraId="3DDF26C2" w14:textId="77777777" w:rsidR="006D423F" w:rsidRDefault="006D423F"/>
        </w:tc>
        <w:tc>
          <w:tcPr>
            <w:tcW w:w="1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4DEA9F9" w14:textId="77777777" w:rsidR="006D423F" w:rsidRDefault="006D423F">
            <w:r>
              <w:t>91%</w:t>
            </w:r>
          </w:p>
        </w:tc>
      </w:tr>
      <w:tr w:rsidR="006D423F" w14:paraId="59D51D77" w14:textId="77777777" w:rsidTr="006D423F">
        <w:trPr>
          <w:trHeight w:val="316"/>
        </w:trPr>
        <w:tc>
          <w:tcPr>
            <w:tcW w:w="72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9F1961E" w14:textId="77777777" w:rsidR="006D423F" w:rsidRDefault="006D423F">
            <w:r>
              <w:t>M</w:t>
            </w:r>
          </w:p>
        </w:tc>
        <w:tc>
          <w:tcPr>
            <w:tcW w:w="1160" w:type="dxa"/>
            <w:tcBorders>
              <w:top w:val="nil"/>
              <w:left w:val="nil"/>
              <w:bottom w:val="single" w:sz="8" w:space="0" w:color="000000"/>
              <w:right w:val="single" w:sz="18" w:space="0" w:color="000000"/>
            </w:tcBorders>
            <w:tcMar>
              <w:top w:w="15" w:type="dxa"/>
              <w:left w:w="15" w:type="dxa"/>
              <w:bottom w:w="0" w:type="dxa"/>
              <w:right w:w="15" w:type="dxa"/>
            </w:tcMar>
            <w:vAlign w:val="center"/>
            <w:hideMark/>
          </w:tcPr>
          <w:p w14:paraId="7418E93E" w14:textId="77777777" w:rsidR="006D423F" w:rsidRDefault="006D423F">
            <w:r>
              <w:t>$77,355</w:t>
            </w:r>
          </w:p>
        </w:tc>
        <w:tc>
          <w:tcPr>
            <w:tcW w:w="1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AB8E263" w14:textId="77777777" w:rsidR="006D423F" w:rsidRDefault="006D423F">
            <w:r>
              <w:t>$59,250</w:t>
            </w:r>
          </w:p>
        </w:tc>
        <w:tc>
          <w:tcPr>
            <w:tcW w:w="1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1D1DB57" w14:textId="77777777" w:rsidR="006D423F" w:rsidRDefault="006D423F">
            <w:r>
              <w:t>$79,000</w:t>
            </w:r>
          </w:p>
        </w:tc>
        <w:tc>
          <w:tcPr>
            <w:tcW w:w="1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AD85753" w14:textId="77777777" w:rsidR="006D423F" w:rsidRDefault="006D423F">
            <w:r>
              <w:t>$118,500</w:t>
            </w:r>
          </w:p>
        </w:tc>
        <w:tc>
          <w:tcPr>
            <w:tcW w:w="9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89ABFE7" w14:textId="77777777" w:rsidR="006D423F" w:rsidRDefault="006D423F">
            <w:r>
              <w:t>2.1%</w:t>
            </w:r>
          </w:p>
        </w:tc>
        <w:tc>
          <w:tcPr>
            <w:tcW w:w="100" w:type="dxa"/>
            <w:tcBorders>
              <w:top w:val="nil"/>
              <w:left w:val="nil"/>
              <w:bottom w:val="nil"/>
              <w:right w:val="single" w:sz="8" w:space="0" w:color="000000"/>
            </w:tcBorders>
            <w:tcMar>
              <w:top w:w="15" w:type="dxa"/>
              <w:left w:w="15" w:type="dxa"/>
              <w:bottom w:w="0" w:type="dxa"/>
              <w:right w:w="15" w:type="dxa"/>
            </w:tcMar>
            <w:vAlign w:val="center"/>
            <w:hideMark/>
          </w:tcPr>
          <w:p w14:paraId="53C0D5F6" w14:textId="77777777" w:rsidR="006D423F" w:rsidRDefault="006D423F"/>
        </w:tc>
        <w:tc>
          <w:tcPr>
            <w:tcW w:w="9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7DD1E6D" w14:textId="77777777" w:rsidR="006D423F" w:rsidRDefault="006D423F">
            <w:r>
              <w:t>-8%</w:t>
            </w:r>
          </w:p>
        </w:tc>
        <w:tc>
          <w:tcPr>
            <w:tcW w:w="100" w:type="dxa"/>
            <w:tcBorders>
              <w:top w:val="nil"/>
              <w:left w:val="nil"/>
              <w:bottom w:val="nil"/>
              <w:right w:val="single" w:sz="8" w:space="0" w:color="000000"/>
            </w:tcBorders>
            <w:tcMar>
              <w:top w:w="15" w:type="dxa"/>
              <w:left w:w="15" w:type="dxa"/>
              <w:bottom w:w="0" w:type="dxa"/>
              <w:right w:w="15" w:type="dxa"/>
            </w:tcMar>
            <w:vAlign w:val="center"/>
            <w:hideMark/>
          </w:tcPr>
          <w:p w14:paraId="68E51031" w14:textId="77777777" w:rsidR="006D423F" w:rsidRDefault="006D423F"/>
        </w:tc>
        <w:tc>
          <w:tcPr>
            <w:tcW w:w="1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6AB046A" w14:textId="77777777" w:rsidR="006D423F" w:rsidRDefault="006D423F">
            <w:r>
              <w:t>89%</w:t>
            </w:r>
          </w:p>
        </w:tc>
      </w:tr>
      <w:tr w:rsidR="006D423F" w14:paraId="1FBA6F4B" w14:textId="77777777" w:rsidTr="006D423F">
        <w:trPr>
          <w:trHeight w:val="316"/>
        </w:trPr>
        <w:tc>
          <w:tcPr>
            <w:tcW w:w="72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FD83898" w14:textId="77777777" w:rsidR="006D423F" w:rsidRDefault="006D423F">
            <w:r>
              <w:t>L</w:t>
            </w:r>
          </w:p>
        </w:tc>
        <w:tc>
          <w:tcPr>
            <w:tcW w:w="1160" w:type="dxa"/>
            <w:tcBorders>
              <w:top w:val="nil"/>
              <w:left w:val="nil"/>
              <w:bottom w:val="single" w:sz="8" w:space="0" w:color="000000"/>
              <w:right w:val="single" w:sz="18" w:space="0" w:color="000000"/>
            </w:tcBorders>
            <w:tcMar>
              <w:top w:w="15" w:type="dxa"/>
              <w:left w:w="15" w:type="dxa"/>
              <w:bottom w:w="0" w:type="dxa"/>
              <w:right w:w="15" w:type="dxa"/>
            </w:tcMar>
            <w:vAlign w:val="center"/>
            <w:hideMark/>
          </w:tcPr>
          <w:p w14:paraId="04FFFB4F" w14:textId="77777777" w:rsidR="006D423F" w:rsidRDefault="006D423F">
            <w:r>
              <w:t>$68,453</w:t>
            </w:r>
          </w:p>
        </w:tc>
        <w:tc>
          <w:tcPr>
            <w:tcW w:w="1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B58C23D" w14:textId="77777777" w:rsidR="006D423F" w:rsidRDefault="006D423F">
            <w:r>
              <w:t>$52,050</w:t>
            </w:r>
          </w:p>
        </w:tc>
        <w:tc>
          <w:tcPr>
            <w:tcW w:w="1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720955F" w14:textId="77777777" w:rsidR="006D423F" w:rsidRDefault="006D423F">
            <w:r>
              <w:t>$69,400</w:t>
            </w:r>
          </w:p>
        </w:tc>
        <w:tc>
          <w:tcPr>
            <w:tcW w:w="1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80F370D" w14:textId="77777777" w:rsidR="006D423F" w:rsidRDefault="006D423F">
            <w:r>
              <w:t>$104,100</w:t>
            </w:r>
          </w:p>
        </w:tc>
        <w:tc>
          <w:tcPr>
            <w:tcW w:w="9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ABFC9E3" w14:textId="77777777" w:rsidR="006D423F" w:rsidRDefault="006D423F">
            <w:r>
              <w:t>1.4%</w:t>
            </w:r>
          </w:p>
        </w:tc>
        <w:tc>
          <w:tcPr>
            <w:tcW w:w="100" w:type="dxa"/>
            <w:tcBorders>
              <w:top w:val="nil"/>
              <w:left w:val="nil"/>
              <w:bottom w:val="nil"/>
              <w:right w:val="single" w:sz="8" w:space="0" w:color="000000"/>
            </w:tcBorders>
            <w:tcMar>
              <w:top w:w="15" w:type="dxa"/>
              <w:left w:w="15" w:type="dxa"/>
              <w:bottom w:w="0" w:type="dxa"/>
              <w:right w:w="15" w:type="dxa"/>
            </w:tcMar>
            <w:vAlign w:val="center"/>
            <w:hideMark/>
          </w:tcPr>
          <w:p w14:paraId="7AB0CCF9" w14:textId="77777777" w:rsidR="006D423F" w:rsidRDefault="006D423F"/>
        </w:tc>
        <w:tc>
          <w:tcPr>
            <w:tcW w:w="9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BB45F8B" w14:textId="77777777" w:rsidR="006D423F" w:rsidRDefault="006D423F">
            <w:r>
              <w:t>-5%</w:t>
            </w:r>
          </w:p>
        </w:tc>
        <w:tc>
          <w:tcPr>
            <w:tcW w:w="100" w:type="dxa"/>
            <w:tcBorders>
              <w:top w:val="nil"/>
              <w:left w:val="nil"/>
              <w:bottom w:val="nil"/>
              <w:right w:val="single" w:sz="8" w:space="0" w:color="000000"/>
            </w:tcBorders>
            <w:tcMar>
              <w:top w:w="15" w:type="dxa"/>
              <w:left w:w="15" w:type="dxa"/>
              <w:bottom w:w="0" w:type="dxa"/>
              <w:right w:w="15" w:type="dxa"/>
            </w:tcMar>
            <w:vAlign w:val="center"/>
            <w:hideMark/>
          </w:tcPr>
          <w:p w14:paraId="01C257B4" w14:textId="77777777" w:rsidR="006D423F" w:rsidRDefault="006D423F"/>
        </w:tc>
        <w:tc>
          <w:tcPr>
            <w:tcW w:w="1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7AB3FC7" w14:textId="77777777" w:rsidR="006D423F" w:rsidRDefault="006D423F">
            <w:r>
              <w:t>90%</w:t>
            </w:r>
          </w:p>
        </w:tc>
      </w:tr>
      <w:tr w:rsidR="006D423F" w14:paraId="2D806650" w14:textId="77777777" w:rsidTr="006D423F">
        <w:trPr>
          <w:trHeight w:val="316"/>
        </w:trPr>
        <w:tc>
          <w:tcPr>
            <w:tcW w:w="72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E4C4AFD" w14:textId="77777777" w:rsidR="006D423F" w:rsidRDefault="006D423F">
            <w:r>
              <w:t>K</w:t>
            </w:r>
          </w:p>
        </w:tc>
        <w:tc>
          <w:tcPr>
            <w:tcW w:w="1160" w:type="dxa"/>
            <w:tcBorders>
              <w:top w:val="nil"/>
              <w:left w:val="nil"/>
              <w:bottom w:val="single" w:sz="8" w:space="0" w:color="000000"/>
              <w:right w:val="single" w:sz="18" w:space="0" w:color="000000"/>
            </w:tcBorders>
            <w:tcMar>
              <w:top w:w="15" w:type="dxa"/>
              <w:left w:w="15" w:type="dxa"/>
              <w:bottom w:w="0" w:type="dxa"/>
              <w:right w:w="15" w:type="dxa"/>
            </w:tcMar>
            <w:vAlign w:val="center"/>
            <w:hideMark/>
          </w:tcPr>
          <w:p w14:paraId="5FE5B555" w14:textId="77777777" w:rsidR="006D423F" w:rsidRDefault="006D423F">
            <w:r>
              <w:t>$60,611</w:t>
            </w:r>
          </w:p>
        </w:tc>
        <w:tc>
          <w:tcPr>
            <w:tcW w:w="1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A6A6D87" w14:textId="77777777" w:rsidR="006D423F" w:rsidRDefault="006D423F">
            <w:r>
              <w:t>$46,050</w:t>
            </w:r>
          </w:p>
        </w:tc>
        <w:tc>
          <w:tcPr>
            <w:tcW w:w="1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FF879E2" w14:textId="77777777" w:rsidR="006D423F" w:rsidRDefault="006D423F">
            <w:r>
              <w:t>$61,400</w:t>
            </w:r>
          </w:p>
        </w:tc>
        <w:tc>
          <w:tcPr>
            <w:tcW w:w="1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A68A286" w14:textId="77777777" w:rsidR="006D423F" w:rsidRDefault="006D423F">
            <w:r>
              <w:t>$92,100</w:t>
            </w:r>
          </w:p>
        </w:tc>
        <w:tc>
          <w:tcPr>
            <w:tcW w:w="9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B2FDD33" w14:textId="77777777" w:rsidR="006D423F" w:rsidRDefault="006D423F">
            <w:r>
              <w:t>1.3%</w:t>
            </w:r>
          </w:p>
        </w:tc>
        <w:tc>
          <w:tcPr>
            <w:tcW w:w="100" w:type="dxa"/>
            <w:tcBorders>
              <w:top w:val="nil"/>
              <w:left w:val="nil"/>
              <w:bottom w:val="nil"/>
              <w:right w:val="single" w:sz="8" w:space="0" w:color="000000"/>
            </w:tcBorders>
            <w:tcMar>
              <w:top w:w="15" w:type="dxa"/>
              <w:left w:w="15" w:type="dxa"/>
              <w:bottom w:w="0" w:type="dxa"/>
              <w:right w:w="15" w:type="dxa"/>
            </w:tcMar>
            <w:vAlign w:val="center"/>
            <w:hideMark/>
          </w:tcPr>
          <w:p w14:paraId="0645C44C" w14:textId="77777777" w:rsidR="006D423F" w:rsidRDefault="006D423F"/>
        </w:tc>
        <w:tc>
          <w:tcPr>
            <w:tcW w:w="9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D885820" w14:textId="77777777" w:rsidR="006D423F" w:rsidRDefault="006D423F">
            <w:r>
              <w:t>-2%</w:t>
            </w:r>
          </w:p>
        </w:tc>
        <w:tc>
          <w:tcPr>
            <w:tcW w:w="100" w:type="dxa"/>
            <w:tcBorders>
              <w:top w:val="nil"/>
              <w:left w:val="nil"/>
              <w:bottom w:val="nil"/>
              <w:right w:val="single" w:sz="8" w:space="0" w:color="000000"/>
            </w:tcBorders>
            <w:tcMar>
              <w:top w:w="15" w:type="dxa"/>
              <w:left w:w="15" w:type="dxa"/>
              <w:bottom w:w="0" w:type="dxa"/>
              <w:right w:w="15" w:type="dxa"/>
            </w:tcMar>
            <w:vAlign w:val="center"/>
            <w:hideMark/>
          </w:tcPr>
          <w:p w14:paraId="32A9862A" w14:textId="77777777" w:rsidR="006D423F" w:rsidRDefault="006D423F"/>
        </w:tc>
        <w:tc>
          <w:tcPr>
            <w:tcW w:w="1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C8CB820" w14:textId="77777777" w:rsidR="006D423F" w:rsidRDefault="006D423F">
            <w:r>
              <w:t>91%</w:t>
            </w:r>
          </w:p>
        </w:tc>
      </w:tr>
      <w:tr w:rsidR="006D423F" w14:paraId="1565AD9C" w14:textId="77777777" w:rsidTr="006D423F">
        <w:trPr>
          <w:trHeight w:val="316"/>
        </w:trPr>
        <w:tc>
          <w:tcPr>
            <w:tcW w:w="72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1E1D7DD" w14:textId="77777777" w:rsidR="006D423F" w:rsidRDefault="006D423F">
            <w:r>
              <w:t>J</w:t>
            </w:r>
          </w:p>
        </w:tc>
        <w:tc>
          <w:tcPr>
            <w:tcW w:w="1160" w:type="dxa"/>
            <w:tcBorders>
              <w:top w:val="nil"/>
              <w:left w:val="nil"/>
              <w:bottom w:val="single" w:sz="8" w:space="0" w:color="000000"/>
              <w:right w:val="single" w:sz="18" w:space="0" w:color="000000"/>
            </w:tcBorders>
            <w:tcMar>
              <w:top w:w="15" w:type="dxa"/>
              <w:left w:w="15" w:type="dxa"/>
              <w:bottom w:w="0" w:type="dxa"/>
              <w:right w:w="15" w:type="dxa"/>
            </w:tcMar>
            <w:vAlign w:val="center"/>
            <w:hideMark/>
          </w:tcPr>
          <w:p w14:paraId="40231A18" w14:textId="77777777" w:rsidR="006D423F" w:rsidRDefault="006D423F">
            <w:r>
              <w:t>$54,142</w:t>
            </w:r>
          </w:p>
        </w:tc>
        <w:tc>
          <w:tcPr>
            <w:tcW w:w="1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DACD846" w14:textId="77777777" w:rsidR="006D423F" w:rsidRDefault="006D423F">
            <w:r>
              <w:t>$40,950</w:t>
            </w:r>
          </w:p>
        </w:tc>
        <w:tc>
          <w:tcPr>
            <w:tcW w:w="1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AF1A8D6" w14:textId="77777777" w:rsidR="006D423F" w:rsidRDefault="006D423F">
            <w:r>
              <w:t>$54,600</w:t>
            </w:r>
          </w:p>
        </w:tc>
        <w:tc>
          <w:tcPr>
            <w:tcW w:w="1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3E6BE14" w14:textId="77777777" w:rsidR="006D423F" w:rsidRDefault="006D423F">
            <w:r>
              <w:t>$81,900</w:t>
            </w:r>
          </w:p>
        </w:tc>
        <w:tc>
          <w:tcPr>
            <w:tcW w:w="9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6170923" w14:textId="77777777" w:rsidR="006D423F" w:rsidRDefault="006D423F">
            <w:r>
              <w:t>0.8%</w:t>
            </w:r>
          </w:p>
        </w:tc>
        <w:tc>
          <w:tcPr>
            <w:tcW w:w="100" w:type="dxa"/>
            <w:tcBorders>
              <w:top w:val="nil"/>
              <w:left w:val="nil"/>
              <w:bottom w:val="nil"/>
              <w:right w:val="single" w:sz="8" w:space="0" w:color="000000"/>
            </w:tcBorders>
            <w:tcMar>
              <w:top w:w="15" w:type="dxa"/>
              <w:left w:w="15" w:type="dxa"/>
              <w:bottom w:w="0" w:type="dxa"/>
              <w:right w:w="15" w:type="dxa"/>
            </w:tcMar>
            <w:vAlign w:val="center"/>
            <w:hideMark/>
          </w:tcPr>
          <w:p w14:paraId="6CC677ED" w14:textId="77777777" w:rsidR="006D423F" w:rsidRDefault="006D423F"/>
        </w:tc>
        <w:tc>
          <w:tcPr>
            <w:tcW w:w="9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4F3B4D0" w14:textId="77777777" w:rsidR="006D423F" w:rsidRDefault="006D423F">
            <w:r>
              <w:t>1%</w:t>
            </w:r>
          </w:p>
        </w:tc>
        <w:tc>
          <w:tcPr>
            <w:tcW w:w="100" w:type="dxa"/>
            <w:tcBorders>
              <w:top w:val="nil"/>
              <w:left w:val="nil"/>
              <w:bottom w:val="nil"/>
              <w:right w:val="single" w:sz="8" w:space="0" w:color="000000"/>
            </w:tcBorders>
            <w:tcMar>
              <w:top w:w="15" w:type="dxa"/>
              <w:left w:w="15" w:type="dxa"/>
              <w:bottom w:w="0" w:type="dxa"/>
              <w:right w:w="15" w:type="dxa"/>
            </w:tcMar>
            <w:vAlign w:val="center"/>
            <w:hideMark/>
          </w:tcPr>
          <w:p w14:paraId="646C50D3" w14:textId="77777777" w:rsidR="006D423F" w:rsidRDefault="006D423F"/>
        </w:tc>
        <w:tc>
          <w:tcPr>
            <w:tcW w:w="1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A659083" w14:textId="77777777" w:rsidR="006D423F" w:rsidRDefault="006D423F">
            <w:r>
              <w:t>90%</w:t>
            </w:r>
          </w:p>
        </w:tc>
      </w:tr>
      <w:tr w:rsidR="006D423F" w14:paraId="18AB5331" w14:textId="77777777" w:rsidTr="006D423F">
        <w:trPr>
          <w:trHeight w:val="316"/>
        </w:trPr>
        <w:tc>
          <w:tcPr>
            <w:tcW w:w="72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8C2001A" w14:textId="77777777" w:rsidR="006D423F" w:rsidRDefault="006D423F">
            <w:r>
              <w:t>I</w:t>
            </w:r>
          </w:p>
        </w:tc>
        <w:tc>
          <w:tcPr>
            <w:tcW w:w="1160" w:type="dxa"/>
            <w:tcBorders>
              <w:top w:val="nil"/>
              <w:left w:val="nil"/>
              <w:bottom w:val="single" w:sz="8" w:space="0" w:color="000000"/>
              <w:right w:val="single" w:sz="18" w:space="0" w:color="000000"/>
            </w:tcBorders>
            <w:tcMar>
              <w:top w:w="15" w:type="dxa"/>
              <w:left w:w="15" w:type="dxa"/>
              <w:bottom w:w="0" w:type="dxa"/>
              <w:right w:w="15" w:type="dxa"/>
            </w:tcMar>
            <w:vAlign w:val="center"/>
            <w:hideMark/>
          </w:tcPr>
          <w:p w14:paraId="458ADBC2" w14:textId="77777777" w:rsidR="006D423F" w:rsidRDefault="006D423F">
            <w:r>
              <w:t>$48,006</w:t>
            </w:r>
          </w:p>
        </w:tc>
        <w:tc>
          <w:tcPr>
            <w:tcW w:w="1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B1D741F" w14:textId="77777777" w:rsidR="006D423F" w:rsidRDefault="006D423F">
            <w:r>
              <w:t>$36,750</w:t>
            </w:r>
          </w:p>
        </w:tc>
        <w:tc>
          <w:tcPr>
            <w:tcW w:w="1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3FCB084" w14:textId="77777777" w:rsidR="006D423F" w:rsidRDefault="006D423F">
            <w:r>
              <w:t>$49,000</w:t>
            </w:r>
          </w:p>
        </w:tc>
        <w:tc>
          <w:tcPr>
            <w:tcW w:w="1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00C771F" w14:textId="77777777" w:rsidR="006D423F" w:rsidRDefault="006D423F">
            <w:r>
              <w:t>$73,500</w:t>
            </w:r>
          </w:p>
        </w:tc>
        <w:tc>
          <w:tcPr>
            <w:tcW w:w="9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9429874" w14:textId="77777777" w:rsidR="006D423F" w:rsidRDefault="006D423F">
            <w:r>
              <w:t>2.1%</w:t>
            </w:r>
          </w:p>
        </w:tc>
        <w:tc>
          <w:tcPr>
            <w:tcW w:w="100" w:type="dxa"/>
            <w:tcBorders>
              <w:top w:val="nil"/>
              <w:left w:val="nil"/>
              <w:bottom w:val="nil"/>
              <w:right w:val="single" w:sz="8" w:space="0" w:color="000000"/>
            </w:tcBorders>
            <w:tcMar>
              <w:top w:w="15" w:type="dxa"/>
              <w:left w:w="15" w:type="dxa"/>
              <w:bottom w:w="0" w:type="dxa"/>
              <w:right w:w="15" w:type="dxa"/>
            </w:tcMar>
            <w:vAlign w:val="center"/>
            <w:hideMark/>
          </w:tcPr>
          <w:p w14:paraId="0ADFA330" w14:textId="77777777" w:rsidR="006D423F" w:rsidRDefault="006D423F"/>
        </w:tc>
        <w:tc>
          <w:tcPr>
            <w:tcW w:w="9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0843218" w14:textId="77777777" w:rsidR="006D423F" w:rsidRDefault="006D423F">
            <w:r>
              <w:t>5%</w:t>
            </w:r>
          </w:p>
        </w:tc>
        <w:tc>
          <w:tcPr>
            <w:tcW w:w="100" w:type="dxa"/>
            <w:tcBorders>
              <w:top w:val="nil"/>
              <w:left w:val="nil"/>
              <w:bottom w:val="nil"/>
              <w:right w:val="single" w:sz="8" w:space="0" w:color="000000"/>
            </w:tcBorders>
            <w:tcMar>
              <w:top w:w="15" w:type="dxa"/>
              <w:left w:w="15" w:type="dxa"/>
              <w:bottom w:w="0" w:type="dxa"/>
              <w:right w:w="15" w:type="dxa"/>
            </w:tcMar>
            <w:vAlign w:val="center"/>
            <w:hideMark/>
          </w:tcPr>
          <w:p w14:paraId="2A828B67" w14:textId="77777777" w:rsidR="006D423F" w:rsidRDefault="006D423F"/>
        </w:tc>
        <w:tc>
          <w:tcPr>
            <w:tcW w:w="1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D2AA93C" w14:textId="77777777" w:rsidR="006D423F" w:rsidRDefault="006D423F">
            <w:r>
              <w:t>88%</w:t>
            </w:r>
          </w:p>
        </w:tc>
      </w:tr>
      <w:tr w:rsidR="006D423F" w14:paraId="6B13DBA7" w14:textId="77777777" w:rsidTr="006D423F">
        <w:trPr>
          <w:trHeight w:val="316"/>
        </w:trPr>
        <w:tc>
          <w:tcPr>
            <w:tcW w:w="72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FA343F5" w14:textId="77777777" w:rsidR="006D423F" w:rsidRDefault="006D423F">
            <w:r>
              <w:t>H</w:t>
            </w:r>
          </w:p>
        </w:tc>
        <w:tc>
          <w:tcPr>
            <w:tcW w:w="1160" w:type="dxa"/>
            <w:tcBorders>
              <w:top w:val="nil"/>
              <w:left w:val="nil"/>
              <w:bottom w:val="single" w:sz="8" w:space="0" w:color="000000"/>
              <w:right w:val="single" w:sz="18" w:space="0" w:color="000000"/>
            </w:tcBorders>
            <w:tcMar>
              <w:top w:w="15" w:type="dxa"/>
              <w:left w:w="15" w:type="dxa"/>
              <w:bottom w:w="0" w:type="dxa"/>
              <w:right w:w="15" w:type="dxa"/>
            </w:tcMar>
            <w:vAlign w:val="center"/>
            <w:hideMark/>
          </w:tcPr>
          <w:p w14:paraId="357300F2" w14:textId="77777777" w:rsidR="006D423F" w:rsidRDefault="006D423F">
            <w:r>
              <w:t>$41,122</w:t>
            </w:r>
          </w:p>
        </w:tc>
        <w:tc>
          <w:tcPr>
            <w:tcW w:w="1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7F80FF8" w14:textId="77777777" w:rsidR="006D423F" w:rsidRDefault="006D423F">
            <w:r>
              <w:t>$31,125</w:t>
            </w:r>
          </w:p>
        </w:tc>
        <w:tc>
          <w:tcPr>
            <w:tcW w:w="1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2895E95" w14:textId="77777777" w:rsidR="006D423F" w:rsidRDefault="006D423F">
            <w:r>
              <w:t>$41,500</w:t>
            </w:r>
          </w:p>
        </w:tc>
        <w:tc>
          <w:tcPr>
            <w:tcW w:w="1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AFE4A88" w14:textId="77777777" w:rsidR="006D423F" w:rsidRDefault="006D423F">
            <w:r>
              <w:t>$62,250</w:t>
            </w:r>
          </w:p>
        </w:tc>
        <w:tc>
          <w:tcPr>
            <w:tcW w:w="9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87DF30F" w14:textId="77777777" w:rsidR="006D423F" w:rsidRDefault="006D423F">
            <w:r>
              <w:t>0.9%</w:t>
            </w:r>
          </w:p>
        </w:tc>
        <w:tc>
          <w:tcPr>
            <w:tcW w:w="100" w:type="dxa"/>
            <w:tcBorders>
              <w:top w:val="nil"/>
              <w:left w:val="nil"/>
              <w:bottom w:val="nil"/>
              <w:right w:val="single" w:sz="8" w:space="0" w:color="000000"/>
            </w:tcBorders>
            <w:tcMar>
              <w:top w:w="15" w:type="dxa"/>
              <w:left w:w="15" w:type="dxa"/>
              <w:bottom w:w="0" w:type="dxa"/>
              <w:right w:w="15" w:type="dxa"/>
            </w:tcMar>
            <w:vAlign w:val="center"/>
            <w:hideMark/>
          </w:tcPr>
          <w:p w14:paraId="72E2745E" w14:textId="77777777" w:rsidR="006D423F" w:rsidRDefault="006D423F"/>
        </w:tc>
        <w:tc>
          <w:tcPr>
            <w:tcW w:w="9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49725E4" w14:textId="77777777" w:rsidR="006D423F" w:rsidRDefault="006D423F">
            <w:r>
              <w:t>3%</w:t>
            </w:r>
          </w:p>
        </w:tc>
        <w:tc>
          <w:tcPr>
            <w:tcW w:w="100" w:type="dxa"/>
            <w:tcBorders>
              <w:top w:val="nil"/>
              <w:left w:val="nil"/>
              <w:bottom w:val="nil"/>
              <w:right w:val="single" w:sz="8" w:space="0" w:color="000000"/>
            </w:tcBorders>
            <w:tcMar>
              <w:top w:w="15" w:type="dxa"/>
              <w:left w:w="15" w:type="dxa"/>
              <w:bottom w:w="0" w:type="dxa"/>
              <w:right w:w="15" w:type="dxa"/>
            </w:tcMar>
            <w:vAlign w:val="center"/>
            <w:hideMark/>
          </w:tcPr>
          <w:p w14:paraId="6595A3D2" w14:textId="77777777" w:rsidR="006D423F" w:rsidRDefault="006D423F"/>
        </w:tc>
        <w:tc>
          <w:tcPr>
            <w:tcW w:w="1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8BAA334" w14:textId="77777777" w:rsidR="006D423F" w:rsidRDefault="006D423F">
            <w:r>
              <w:t>92%</w:t>
            </w:r>
          </w:p>
        </w:tc>
      </w:tr>
      <w:tr w:rsidR="006D423F" w14:paraId="619A3789" w14:textId="77777777" w:rsidTr="006D423F">
        <w:trPr>
          <w:trHeight w:val="316"/>
        </w:trPr>
        <w:tc>
          <w:tcPr>
            <w:tcW w:w="72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3DE86BB" w14:textId="77777777" w:rsidR="006D423F" w:rsidRDefault="006D423F">
            <w:r>
              <w:t>G</w:t>
            </w:r>
          </w:p>
        </w:tc>
        <w:tc>
          <w:tcPr>
            <w:tcW w:w="1160" w:type="dxa"/>
            <w:tcBorders>
              <w:top w:val="nil"/>
              <w:left w:val="nil"/>
              <w:bottom w:val="single" w:sz="8" w:space="0" w:color="000000"/>
              <w:right w:val="single" w:sz="18" w:space="0" w:color="000000"/>
            </w:tcBorders>
            <w:tcMar>
              <w:top w:w="15" w:type="dxa"/>
              <w:left w:w="15" w:type="dxa"/>
              <w:bottom w:w="0" w:type="dxa"/>
              <w:right w:w="15" w:type="dxa"/>
            </w:tcMar>
            <w:vAlign w:val="center"/>
            <w:hideMark/>
          </w:tcPr>
          <w:p w14:paraId="3AE3B7E2" w14:textId="77777777" w:rsidR="006D423F" w:rsidRDefault="006D423F">
            <w:r>
              <w:t>$35,714</w:t>
            </w:r>
          </w:p>
        </w:tc>
        <w:tc>
          <w:tcPr>
            <w:tcW w:w="1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D122DFF" w14:textId="77777777" w:rsidR="006D423F" w:rsidRDefault="006D423F">
            <w:r>
              <w:t>$27,375</w:t>
            </w:r>
          </w:p>
        </w:tc>
        <w:tc>
          <w:tcPr>
            <w:tcW w:w="1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D7B61C2" w14:textId="77777777" w:rsidR="006D423F" w:rsidRDefault="006D423F">
            <w:r>
              <w:t>$36,500</w:t>
            </w:r>
          </w:p>
        </w:tc>
        <w:tc>
          <w:tcPr>
            <w:tcW w:w="1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1622C51" w14:textId="77777777" w:rsidR="006D423F" w:rsidRDefault="006D423F">
            <w:r>
              <w:t>$54,750</w:t>
            </w:r>
          </w:p>
        </w:tc>
        <w:tc>
          <w:tcPr>
            <w:tcW w:w="9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E4AD4EC" w14:textId="77777777" w:rsidR="006D423F" w:rsidRDefault="006D423F">
            <w:r>
              <w:t>2.2%</w:t>
            </w:r>
          </w:p>
        </w:tc>
        <w:tc>
          <w:tcPr>
            <w:tcW w:w="100" w:type="dxa"/>
            <w:tcBorders>
              <w:top w:val="nil"/>
              <w:left w:val="nil"/>
              <w:bottom w:val="nil"/>
              <w:right w:val="single" w:sz="8" w:space="0" w:color="000000"/>
            </w:tcBorders>
            <w:tcMar>
              <w:top w:w="15" w:type="dxa"/>
              <w:left w:w="15" w:type="dxa"/>
              <w:bottom w:w="0" w:type="dxa"/>
              <w:right w:w="15" w:type="dxa"/>
            </w:tcMar>
            <w:vAlign w:val="center"/>
            <w:hideMark/>
          </w:tcPr>
          <w:p w14:paraId="17D7561A" w14:textId="77777777" w:rsidR="006D423F" w:rsidRDefault="006D423F"/>
        </w:tc>
        <w:tc>
          <w:tcPr>
            <w:tcW w:w="9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B0EDA5E" w14:textId="77777777" w:rsidR="006D423F" w:rsidRDefault="006D423F">
            <w:r>
              <w:t>3%</w:t>
            </w:r>
          </w:p>
        </w:tc>
        <w:tc>
          <w:tcPr>
            <w:tcW w:w="100" w:type="dxa"/>
            <w:tcBorders>
              <w:top w:val="nil"/>
              <w:left w:val="nil"/>
              <w:bottom w:val="nil"/>
              <w:right w:val="single" w:sz="8" w:space="0" w:color="000000"/>
            </w:tcBorders>
            <w:tcMar>
              <w:top w:w="15" w:type="dxa"/>
              <w:left w:w="15" w:type="dxa"/>
              <w:bottom w:w="0" w:type="dxa"/>
              <w:right w:w="15" w:type="dxa"/>
            </w:tcMar>
            <w:vAlign w:val="center"/>
            <w:hideMark/>
          </w:tcPr>
          <w:p w14:paraId="43DC2775" w14:textId="77777777" w:rsidR="006D423F" w:rsidRDefault="006D423F"/>
        </w:tc>
        <w:tc>
          <w:tcPr>
            <w:tcW w:w="1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FE28F23" w14:textId="77777777" w:rsidR="006D423F" w:rsidRDefault="006D423F">
            <w:r>
              <w:t>94%</w:t>
            </w:r>
          </w:p>
        </w:tc>
      </w:tr>
      <w:tr w:rsidR="006D423F" w14:paraId="3FD988A4" w14:textId="77777777" w:rsidTr="006D423F">
        <w:trPr>
          <w:trHeight w:val="316"/>
        </w:trPr>
        <w:tc>
          <w:tcPr>
            <w:tcW w:w="72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4516C7E" w14:textId="77777777" w:rsidR="006D423F" w:rsidRDefault="006D423F">
            <w:r>
              <w:t>F</w:t>
            </w:r>
          </w:p>
        </w:tc>
        <w:tc>
          <w:tcPr>
            <w:tcW w:w="1160" w:type="dxa"/>
            <w:tcBorders>
              <w:top w:val="nil"/>
              <w:left w:val="nil"/>
              <w:bottom w:val="single" w:sz="8" w:space="0" w:color="000000"/>
              <w:right w:val="single" w:sz="18" w:space="0" w:color="000000"/>
            </w:tcBorders>
            <w:tcMar>
              <w:top w:w="15" w:type="dxa"/>
              <w:left w:w="15" w:type="dxa"/>
              <w:bottom w:w="0" w:type="dxa"/>
              <w:right w:w="15" w:type="dxa"/>
            </w:tcMar>
            <w:vAlign w:val="center"/>
            <w:hideMark/>
          </w:tcPr>
          <w:p w14:paraId="72BC02ED" w14:textId="77777777" w:rsidR="006D423F" w:rsidRDefault="006D423F">
            <w:r>
              <w:t>$31,429</w:t>
            </w:r>
          </w:p>
        </w:tc>
        <w:tc>
          <w:tcPr>
            <w:tcW w:w="1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1C92054" w14:textId="77777777" w:rsidR="006D423F" w:rsidRDefault="006D423F">
            <w:r>
              <w:t>$24,300</w:t>
            </w:r>
          </w:p>
        </w:tc>
        <w:tc>
          <w:tcPr>
            <w:tcW w:w="1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BEA1574" w14:textId="77777777" w:rsidR="006D423F" w:rsidRDefault="006D423F">
            <w:r>
              <w:t>$32,400</w:t>
            </w:r>
          </w:p>
        </w:tc>
        <w:tc>
          <w:tcPr>
            <w:tcW w:w="1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E45BBF0" w14:textId="77777777" w:rsidR="006D423F" w:rsidRDefault="006D423F">
            <w:r>
              <w:t>$48,600</w:t>
            </w:r>
          </w:p>
        </w:tc>
        <w:tc>
          <w:tcPr>
            <w:tcW w:w="9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447B3E3" w14:textId="77777777" w:rsidR="006D423F" w:rsidRDefault="006D423F">
            <w:r>
              <w:t>3.1%</w:t>
            </w:r>
          </w:p>
        </w:tc>
        <w:tc>
          <w:tcPr>
            <w:tcW w:w="100" w:type="dxa"/>
            <w:tcBorders>
              <w:top w:val="nil"/>
              <w:left w:val="nil"/>
              <w:bottom w:val="nil"/>
              <w:right w:val="single" w:sz="8" w:space="0" w:color="000000"/>
            </w:tcBorders>
            <w:tcMar>
              <w:top w:w="15" w:type="dxa"/>
              <w:left w:w="15" w:type="dxa"/>
              <w:bottom w:w="0" w:type="dxa"/>
              <w:right w:w="15" w:type="dxa"/>
            </w:tcMar>
            <w:vAlign w:val="center"/>
            <w:hideMark/>
          </w:tcPr>
          <w:p w14:paraId="0DCCF32B" w14:textId="77777777" w:rsidR="006D423F" w:rsidRDefault="006D423F"/>
        </w:tc>
        <w:tc>
          <w:tcPr>
            <w:tcW w:w="9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A997B16" w14:textId="77777777" w:rsidR="006D423F" w:rsidRDefault="006D423F">
            <w:r>
              <w:t>0%</w:t>
            </w:r>
          </w:p>
        </w:tc>
        <w:tc>
          <w:tcPr>
            <w:tcW w:w="100" w:type="dxa"/>
            <w:tcBorders>
              <w:top w:val="nil"/>
              <w:left w:val="nil"/>
              <w:bottom w:val="nil"/>
              <w:right w:val="single" w:sz="8" w:space="0" w:color="000000"/>
            </w:tcBorders>
            <w:tcMar>
              <w:top w:w="15" w:type="dxa"/>
              <w:left w:w="15" w:type="dxa"/>
              <w:bottom w:w="0" w:type="dxa"/>
              <w:right w:w="15" w:type="dxa"/>
            </w:tcMar>
            <w:vAlign w:val="center"/>
            <w:hideMark/>
          </w:tcPr>
          <w:p w14:paraId="3D13B2E4" w14:textId="77777777" w:rsidR="006D423F" w:rsidRDefault="006D423F"/>
        </w:tc>
        <w:tc>
          <w:tcPr>
            <w:tcW w:w="1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7C29BA3" w14:textId="77777777" w:rsidR="006D423F" w:rsidRDefault="006D423F">
            <w:r>
              <w:t>97%</w:t>
            </w:r>
          </w:p>
        </w:tc>
      </w:tr>
      <w:tr w:rsidR="006D423F" w14:paraId="417F1FF3" w14:textId="77777777" w:rsidTr="006D423F">
        <w:trPr>
          <w:trHeight w:val="316"/>
        </w:trPr>
        <w:tc>
          <w:tcPr>
            <w:tcW w:w="72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75BDFE9" w14:textId="77777777" w:rsidR="006D423F" w:rsidRDefault="006D423F">
            <w:r>
              <w:t>E</w:t>
            </w:r>
          </w:p>
        </w:tc>
        <w:tc>
          <w:tcPr>
            <w:tcW w:w="1160" w:type="dxa"/>
            <w:tcBorders>
              <w:top w:val="nil"/>
              <w:left w:val="nil"/>
              <w:bottom w:val="single" w:sz="8" w:space="0" w:color="000000"/>
              <w:right w:val="single" w:sz="18" w:space="0" w:color="000000"/>
            </w:tcBorders>
            <w:tcMar>
              <w:top w:w="15" w:type="dxa"/>
              <w:left w:w="15" w:type="dxa"/>
              <w:bottom w:w="0" w:type="dxa"/>
              <w:right w:w="15" w:type="dxa"/>
            </w:tcMar>
            <w:vAlign w:val="center"/>
            <w:hideMark/>
          </w:tcPr>
          <w:p w14:paraId="3AA9A970" w14:textId="77777777" w:rsidR="006D423F" w:rsidRDefault="006D423F">
            <w:r>
              <w:t>$27,914</w:t>
            </w:r>
          </w:p>
        </w:tc>
        <w:tc>
          <w:tcPr>
            <w:tcW w:w="1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9D60595" w14:textId="77777777" w:rsidR="006D423F" w:rsidRDefault="006D423F">
            <w:r>
              <w:t>$21,750</w:t>
            </w:r>
          </w:p>
        </w:tc>
        <w:tc>
          <w:tcPr>
            <w:tcW w:w="1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2A0DB14" w14:textId="77777777" w:rsidR="006D423F" w:rsidRDefault="006D423F">
            <w:r>
              <w:t>$29,000</w:t>
            </w:r>
          </w:p>
        </w:tc>
        <w:tc>
          <w:tcPr>
            <w:tcW w:w="1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0015FB7" w14:textId="77777777" w:rsidR="006D423F" w:rsidRDefault="006D423F">
            <w:r>
              <w:t>$43,500</w:t>
            </w:r>
          </w:p>
        </w:tc>
        <w:tc>
          <w:tcPr>
            <w:tcW w:w="9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FC1B3F7" w14:textId="77777777" w:rsidR="006D423F" w:rsidRDefault="006D423F">
            <w:r>
              <w:t>3.9%</w:t>
            </w:r>
          </w:p>
        </w:tc>
        <w:tc>
          <w:tcPr>
            <w:tcW w:w="100" w:type="dxa"/>
            <w:tcBorders>
              <w:top w:val="nil"/>
              <w:left w:val="nil"/>
              <w:bottom w:val="nil"/>
              <w:right w:val="single" w:sz="8" w:space="0" w:color="000000"/>
            </w:tcBorders>
            <w:tcMar>
              <w:top w:w="15" w:type="dxa"/>
              <w:left w:w="15" w:type="dxa"/>
              <w:bottom w:w="0" w:type="dxa"/>
              <w:right w:w="15" w:type="dxa"/>
            </w:tcMar>
            <w:vAlign w:val="center"/>
            <w:hideMark/>
          </w:tcPr>
          <w:p w14:paraId="0521E553" w14:textId="77777777" w:rsidR="006D423F" w:rsidRDefault="006D423F"/>
        </w:tc>
        <w:tc>
          <w:tcPr>
            <w:tcW w:w="9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067456C" w14:textId="77777777" w:rsidR="006D423F" w:rsidRDefault="006D423F">
            <w:r>
              <w:t>-3%</w:t>
            </w:r>
          </w:p>
        </w:tc>
        <w:tc>
          <w:tcPr>
            <w:tcW w:w="100" w:type="dxa"/>
            <w:tcBorders>
              <w:top w:val="nil"/>
              <w:left w:val="nil"/>
              <w:bottom w:val="nil"/>
              <w:right w:val="single" w:sz="8" w:space="0" w:color="000000"/>
            </w:tcBorders>
            <w:tcMar>
              <w:top w:w="15" w:type="dxa"/>
              <w:left w:w="15" w:type="dxa"/>
              <w:bottom w:w="0" w:type="dxa"/>
              <w:right w:w="15" w:type="dxa"/>
            </w:tcMar>
            <w:vAlign w:val="center"/>
            <w:hideMark/>
          </w:tcPr>
          <w:p w14:paraId="14DEF06B" w14:textId="77777777" w:rsidR="006D423F" w:rsidRDefault="006D423F"/>
        </w:tc>
        <w:tc>
          <w:tcPr>
            <w:tcW w:w="1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7B9E47B" w14:textId="77777777" w:rsidR="006D423F" w:rsidRDefault="006D423F">
            <w:r>
              <w:t>99%</w:t>
            </w:r>
          </w:p>
        </w:tc>
      </w:tr>
      <w:tr w:rsidR="006D423F" w14:paraId="6FC1133B" w14:textId="77777777" w:rsidTr="006D423F">
        <w:trPr>
          <w:trHeight w:val="316"/>
        </w:trPr>
        <w:tc>
          <w:tcPr>
            <w:tcW w:w="72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4F99474" w14:textId="77777777" w:rsidR="006D423F" w:rsidRDefault="006D423F">
            <w:r>
              <w:t>D</w:t>
            </w:r>
          </w:p>
        </w:tc>
        <w:tc>
          <w:tcPr>
            <w:tcW w:w="1160" w:type="dxa"/>
            <w:tcBorders>
              <w:top w:val="nil"/>
              <w:left w:val="nil"/>
              <w:bottom w:val="single" w:sz="8" w:space="0" w:color="000000"/>
              <w:right w:val="single" w:sz="18" w:space="0" w:color="000000"/>
            </w:tcBorders>
            <w:tcMar>
              <w:top w:w="15" w:type="dxa"/>
              <w:left w:w="15" w:type="dxa"/>
              <w:bottom w:w="0" w:type="dxa"/>
              <w:right w:w="15" w:type="dxa"/>
            </w:tcMar>
            <w:vAlign w:val="center"/>
            <w:hideMark/>
          </w:tcPr>
          <w:p w14:paraId="35C1048D" w14:textId="77777777" w:rsidR="006D423F" w:rsidRDefault="006D423F">
            <w:r>
              <w:t>$24,960</w:t>
            </w:r>
          </w:p>
        </w:tc>
        <w:tc>
          <w:tcPr>
            <w:tcW w:w="1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8D869F7" w14:textId="77777777" w:rsidR="006D423F" w:rsidRDefault="006D423F">
            <w:r>
              <w:t>$19,500</w:t>
            </w:r>
          </w:p>
        </w:tc>
        <w:tc>
          <w:tcPr>
            <w:tcW w:w="1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1661348" w14:textId="77777777" w:rsidR="006D423F" w:rsidRDefault="006D423F">
            <w:r>
              <w:t>$26,000</w:t>
            </w:r>
          </w:p>
        </w:tc>
        <w:tc>
          <w:tcPr>
            <w:tcW w:w="1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3FE6FDF" w14:textId="77777777" w:rsidR="006D423F" w:rsidRDefault="006D423F">
            <w:r>
              <w:t>$39,000</w:t>
            </w:r>
          </w:p>
        </w:tc>
        <w:tc>
          <w:tcPr>
            <w:tcW w:w="9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3169920" w14:textId="77777777" w:rsidR="006D423F" w:rsidRDefault="006D423F">
            <w:r>
              <w:t>4.2%</w:t>
            </w:r>
          </w:p>
        </w:tc>
        <w:tc>
          <w:tcPr>
            <w:tcW w:w="100" w:type="dxa"/>
            <w:tcBorders>
              <w:top w:val="nil"/>
              <w:left w:val="nil"/>
              <w:bottom w:val="nil"/>
              <w:right w:val="single" w:sz="8" w:space="0" w:color="000000"/>
            </w:tcBorders>
            <w:tcMar>
              <w:top w:w="15" w:type="dxa"/>
              <w:left w:w="15" w:type="dxa"/>
              <w:bottom w:w="0" w:type="dxa"/>
              <w:right w:w="15" w:type="dxa"/>
            </w:tcMar>
            <w:vAlign w:val="center"/>
            <w:hideMark/>
          </w:tcPr>
          <w:p w14:paraId="54FD35AB" w14:textId="77777777" w:rsidR="006D423F" w:rsidRDefault="006D423F"/>
        </w:tc>
        <w:tc>
          <w:tcPr>
            <w:tcW w:w="9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100C12F" w14:textId="77777777" w:rsidR="006D423F" w:rsidRDefault="006D423F">
            <w:r>
              <w:t>-6%</w:t>
            </w:r>
          </w:p>
        </w:tc>
        <w:tc>
          <w:tcPr>
            <w:tcW w:w="100" w:type="dxa"/>
            <w:tcBorders>
              <w:top w:val="nil"/>
              <w:left w:val="nil"/>
              <w:bottom w:val="nil"/>
              <w:right w:val="single" w:sz="8" w:space="0" w:color="000000"/>
            </w:tcBorders>
            <w:tcMar>
              <w:top w:w="15" w:type="dxa"/>
              <w:left w:w="15" w:type="dxa"/>
              <w:bottom w:w="0" w:type="dxa"/>
              <w:right w:w="15" w:type="dxa"/>
            </w:tcMar>
            <w:vAlign w:val="center"/>
            <w:hideMark/>
          </w:tcPr>
          <w:p w14:paraId="64FFD64E" w14:textId="77777777" w:rsidR="006D423F" w:rsidRDefault="006D423F"/>
        </w:tc>
        <w:tc>
          <w:tcPr>
            <w:tcW w:w="112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5CD4AF3" w14:textId="77777777" w:rsidR="006D423F" w:rsidRDefault="006D423F">
            <w:r>
              <w:t>96%</w:t>
            </w:r>
          </w:p>
        </w:tc>
      </w:tr>
    </w:tbl>
    <w:p w14:paraId="5D0BBF29" w14:textId="77777777" w:rsidR="006D423F" w:rsidRDefault="006D423F" w:rsidP="006D423F"/>
    <w:p w14:paraId="26B16422" w14:textId="77777777" w:rsidR="006D423F" w:rsidRDefault="006D423F" w:rsidP="006D423F">
      <w:pPr>
        <w:rPr>
          <w:b/>
          <w:bCs/>
        </w:rPr>
      </w:pPr>
      <w:r>
        <w:rPr>
          <w:b/>
          <w:bCs/>
        </w:rPr>
        <w:t>DHR MODERNIZATION BUDGET</w:t>
      </w:r>
    </w:p>
    <w:p w14:paraId="7E5B36D4" w14:textId="77777777" w:rsidR="006D423F" w:rsidRDefault="006D423F" w:rsidP="006D423F">
      <w:pPr>
        <w:pStyle w:val="ListParagraph"/>
        <w:numPr>
          <w:ilvl w:val="0"/>
          <w:numId w:val="2"/>
        </w:numPr>
        <w:rPr>
          <w:rFonts w:eastAsia="Times New Roman"/>
          <w:b/>
          <w:bCs/>
        </w:rPr>
      </w:pPr>
      <w:r>
        <w:rPr>
          <w:rFonts w:eastAsia="Times New Roman"/>
        </w:rPr>
        <w:t>Approved the Governor’s recommendations to consolidate statewide human resources into the Division of Human Resources which changes the fee structure from charging agencies with classified employees to charging Executive Branch agencies with both classified and non-classified employees.</w:t>
      </w:r>
    </w:p>
    <w:p w14:paraId="0C5351FD" w14:textId="77777777" w:rsidR="006D423F" w:rsidRDefault="006D423F" w:rsidP="006D423F">
      <w:pPr>
        <w:pStyle w:val="ListParagraph"/>
        <w:numPr>
          <w:ilvl w:val="0"/>
          <w:numId w:val="2"/>
        </w:numPr>
        <w:rPr>
          <w:rFonts w:eastAsia="Times New Roman"/>
          <w:b/>
          <w:bCs/>
        </w:rPr>
      </w:pPr>
      <w:r>
        <w:rPr>
          <w:rFonts w:eastAsia="Times New Roman"/>
        </w:rPr>
        <w:t>Transfer of personnel funds related to 137 FTE statewide.</w:t>
      </w:r>
    </w:p>
    <w:p w14:paraId="35DA8E1E" w14:textId="77777777" w:rsidR="009E557A" w:rsidRDefault="009E557A"/>
    <w:sectPr w:rsidR="009E557A" w:rsidSect="006D42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4386F"/>
    <w:multiLevelType w:val="hybridMultilevel"/>
    <w:tmpl w:val="7F5A4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BEB3E74"/>
    <w:multiLevelType w:val="hybridMultilevel"/>
    <w:tmpl w:val="641CF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82063675">
    <w:abstractNumId w:val="0"/>
    <w:lvlOverride w:ilvl="0"/>
    <w:lvlOverride w:ilvl="1"/>
    <w:lvlOverride w:ilvl="2"/>
    <w:lvlOverride w:ilvl="3"/>
    <w:lvlOverride w:ilvl="4"/>
    <w:lvlOverride w:ilvl="5"/>
    <w:lvlOverride w:ilvl="6"/>
    <w:lvlOverride w:ilvl="7"/>
    <w:lvlOverride w:ilvl="8"/>
  </w:num>
  <w:num w:numId="2" w16cid:durableId="17395643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23F"/>
    <w:rsid w:val="006D423F"/>
    <w:rsid w:val="009E5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79200"/>
  <w15:chartTrackingRefBased/>
  <w15:docId w15:val="{0AA208E8-3944-438A-8E49-1553F723B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23F"/>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23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54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2047</Characters>
  <Application>Microsoft Office Word</Application>
  <DocSecurity>0</DocSecurity>
  <Lines>17</Lines>
  <Paragraphs>4</Paragraphs>
  <ScaleCrop>false</ScaleCrop>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Ryan</dc:creator>
  <cp:keywords/>
  <dc:description/>
  <cp:lastModifiedBy>Andrea Ryan</cp:lastModifiedBy>
  <cp:revision>1</cp:revision>
  <dcterms:created xsi:type="dcterms:W3CDTF">2023-02-17T19:14:00Z</dcterms:created>
  <dcterms:modified xsi:type="dcterms:W3CDTF">2023-02-17T19:14:00Z</dcterms:modified>
</cp:coreProperties>
</file>