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horzAnchor="margin" w:tblpXSpec="center" w:tblpY="-580"/>
        <w:tblW w:w="8955" w:type="dxa"/>
        <w:shd w:val="clear" w:color="auto" w:fill="FFFFFF"/>
        <w:tblLayout w:type="fixed"/>
        <w:tblCellMar>
          <w:top w:w="216" w:type="dxa"/>
          <w:left w:w="461" w:type="dxa"/>
          <w:bottom w:w="216" w:type="dxa"/>
          <w:right w:w="461" w:type="dxa"/>
        </w:tblCellMar>
        <w:tblLook w:val="04A0" w:firstRow="1" w:lastRow="0" w:firstColumn="1" w:lastColumn="0" w:noHBand="0" w:noVBand="1"/>
      </w:tblPr>
      <w:tblGrid>
        <w:gridCol w:w="8955"/>
      </w:tblGrid>
      <w:tr w:rsidR="00AD4F44" w:rsidRPr="00AD4F44" w14:paraId="34B21FCE" w14:textId="77777777" w:rsidTr="288F2E0F">
        <w:tc>
          <w:tcPr>
            <w:tcW w:w="8955" w:type="dxa"/>
            <w:tcBorders>
              <w:bottom w:val="single" w:sz="12" w:space="0" w:color="F2F2F2" w:themeColor="background1" w:themeShade="F2"/>
            </w:tcBorders>
            <w:shd w:val="clear" w:color="auto" w:fill="092F5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D662" w14:textId="77777777" w:rsidR="00AD4F44" w:rsidRPr="00AD4F44" w:rsidRDefault="00AD4F44" w:rsidP="00AD4F44">
            <w:pPr>
              <w:widowControl w:val="0"/>
              <w:spacing w:after="150" w:line="276" w:lineRule="auto"/>
              <w:jc w:val="center"/>
              <w:rPr>
                <w:rFonts w:ascii="Calibri" w:eastAsia="Verdana" w:hAnsi="Calibri" w:cs="Calibri"/>
                <w:b/>
                <w:color w:val="000000"/>
                <w:sz w:val="20"/>
                <w:szCs w:val="20"/>
                <w:lang w:eastAsia="zh-TW"/>
              </w:rPr>
            </w:pPr>
          </w:p>
        </w:tc>
      </w:tr>
      <w:tr w:rsidR="00AD4F44" w:rsidRPr="00AD4F44" w14:paraId="375FB2FC" w14:textId="77777777" w:rsidTr="288F2E0F">
        <w:trPr>
          <w:trHeight w:val="852"/>
        </w:trPr>
        <w:tc>
          <w:tcPr>
            <w:tcW w:w="8955" w:type="dxa"/>
            <w:tcBorders>
              <w:top w:val="single" w:sz="12" w:space="0" w:color="F2F2F2" w:themeColor="background1" w:themeShade="F2"/>
              <w:bottom w:val="single" w:sz="4" w:space="0" w:color="auto"/>
            </w:tcBorders>
            <w:shd w:val="clear" w:color="auto" w:fill="FFFFFF" w:themeFill="background1"/>
          </w:tcPr>
          <w:p w14:paraId="307AF023" w14:textId="77777777" w:rsidR="00AD4F44" w:rsidRPr="00AD4F44" w:rsidRDefault="00AD4F44" w:rsidP="00AD4F44">
            <w:pPr>
              <w:keepNext/>
              <w:keepLines/>
              <w:outlineLvl w:val="0"/>
              <w:rPr>
                <w:rFonts w:ascii="Aristotelica Display Trial" w:eastAsia="Times New Roman" w:hAnsi="Aristotelica Display Trial" w:cs="Calibri"/>
                <w:b/>
                <w:bCs/>
                <w:noProof/>
                <w:spacing w:val="-2"/>
                <w:kern w:val="28"/>
                <w:sz w:val="32"/>
                <w:szCs w:val="28"/>
                <w:lang w:eastAsia="zh-TW"/>
              </w:rPr>
            </w:pPr>
            <w:r w:rsidRPr="00AD4F4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2A0AFE" wp14:editId="46F4B33A">
                  <wp:simplePos x="0" y="0"/>
                  <wp:positionH relativeFrom="column">
                    <wp:posOffset>3864610</wp:posOffset>
                  </wp:positionH>
                  <wp:positionV relativeFrom="paragraph">
                    <wp:posOffset>87630</wp:posOffset>
                  </wp:positionV>
                  <wp:extent cx="1428750" cy="409575"/>
                  <wp:effectExtent l="0" t="0" r="0" b="9525"/>
                  <wp:wrapNone/>
                  <wp:docPr id="6" name="Picture 6" descr="Luma-Logo-Sig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uma-Logo-Siglin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5B416F" w14:textId="77777777" w:rsidR="00AD4F44" w:rsidRPr="00AD4F44" w:rsidRDefault="00AD4F44" w:rsidP="00AD4F44">
            <w:pPr>
              <w:keepNext/>
              <w:keepLines/>
              <w:outlineLvl w:val="0"/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</w:pPr>
            <w:r w:rsidRPr="00AD4F44"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 xml:space="preserve">EMAIL SUBJECT: </w:t>
            </w:r>
          </w:p>
          <w:p w14:paraId="1360275D" w14:textId="039F0E9C" w:rsidR="00AD4F44" w:rsidRDefault="00AD4F44" w:rsidP="00AD4F44">
            <w:pPr>
              <w:keepNext/>
              <w:keepLines/>
              <w:outlineLvl w:val="0"/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</w:pPr>
            <w:r w:rsidRPr="00AD4F44"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>Luma Project</w:t>
            </w:r>
            <w:r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 xml:space="preserve"> Announcement: Essential</w:t>
            </w:r>
          </w:p>
          <w:p w14:paraId="6CE20ED3" w14:textId="09B042E8" w:rsidR="00AD4F44" w:rsidRPr="00AD4F44" w:rsidRDefault="00AD4F44" w:rsidP="00AD4F44">
            <w:pPr>
              <w:keepNext/>
              <w:keepLines/>
              <w:outlineLvl w:val="0"/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</w:pPr>
            <w:r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 xml:space="preserve">Training </w:t>
            </w:r>
            <w:r w:rsidR="00773485"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>e-Learnings</w:t>
            </w:r>
            <w:r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 xml:space="preserve"> for Agency Employe</w:t>
            </w:r>
            <w:r w:rsidR="00E15E83">
              <w:rPr>
                <w:rFonts w:ascii="Aristotelica Display Trial" w:eastAsia="Times New Roman" w:hAnsi="Aristotelica Display Trial" w:cs="Calibri"/>
                <w:b/>
                <w:bCs/>
                <w:noProof/>
                <w:color w:val="092F57"/>
                <w:spacing w:val="-2"/>
                <w:kern w:val="28"/>
                <w:sz w:val="32"/>
                <w:szCs w:val="28"/>
                <w:lang w:eastAsia="zh-TW"/>
              </w:rPr>
              <w:t>es</w:t>
            </w:r>
          </w:p>
        </w:tc>
      </w:tr>
      <w:tr w:rsidR="00AD4F44" w:rsidRPr="00AD4F44" w14:paraId="6406925E" w14:textId="77777777" w:rsidTr="009C530C">
        <w:trPr>
          <w:trHeight w:val="9737"/>
        </w:trPr>
        <w:tc>
          <w:tcPr>
            <w:tcW w:w="895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1B6D22" w14:textId="430B1201" w:rsidR="00AD4F44" w:rsidRPr="00AD4F44" w:rsidRDefault="009C530C" w:rsidP="00AD4F44">
            <w:p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Dear Colleagues</w:t>
            </w:r>
            <w:r w:rsidR="00AD4F44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,</w:t>
            </w:r>
            <w:r w:rsidR="00AD4F44" w:rsidRPr="00AD4F44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</w:p>
          <w:p w14:paraId="6520531D" w14:textId="28DB4A94" w:rsidR="00547E16" w:rsidRDefault="00547E16" w:rsidP="00547E16">
            <w:p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24217B65" w14:textId="6DB9803A" w:rsidR="00547E16" w:rsidRDefault="002031FE" w:rsidP="00547E16">
            <w:p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The Luma Training team, is happy to announce that f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rom May 3</w:t>
            </w: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1</w:t>
            </w:r>
            <w:r w:rsidR="00A46F25">
              <w:rPr>
                <w:rFonts w:ascii="Arial" w:eastAsia="PMingLiU" w:hAnsi="Arial" w:cs="Arial"/>
                <w:color w:val="000000"/>
                <w:sz w:val="20"/>
                <w:szCs w:val="20"/>
                <w:vertAlign w:val="superscript"/>
                <w:lang w:eastAsia="zh-TW"/>
              </w:rPr>
              <w:t>st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vertAlign w:val="superscript"/>
                <w:lang w:eastAsia="zh-TW"/>
              </w:rPr>
              <w:t xml:space="preserve"> 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through June 5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vertAlign w:val="superscript"/>
                <w:lang w:eastAsia="zh-TW"/>
              </w:rPr>
              <w:t>th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, the Luma Project will be releasing a series of self-paced e-learning courses for </w:t>
            </w:r>
            <w:r w:rsidR="00547E16">
              <w:rPr>
                <w:rFonts w:ascii="Arial" w:eastAsia="PMingLiU" w:hAnsi="Arial" w:cs="Arial"/>
                <w:b/>
                <w:bCs/>
                <w:color w:val="000000"/>
                <w:sz w:val="20"/>
                <w:szCs w:val="20"/>
                <w:lang w:eastAsia="zh-TW"/>
              </w:rPr>
              <w:t>all State employees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. These self-paced e-learning courses (also called “microlearnings”) will equip staff with important knowledge they need to successfully use the Luma system starting on June 20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vertAlign w:val="superscript"/>
                <w:lang w:eastAsia="zh-TW"/>
              </w:rPr>
              <w:t>th</w:t>
            </w:r>
            <w:r w:rsidR="00547E16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. The first topics to be released are:</w:t>
            </w:r>
          </w:p>
          <w:p w14:paraId="0E78871B" w14:textId="77777777" w:rsidR="007D4279" w:rsidRDefault="007D4279" w:rsidP="00AD4F44">
            <w:p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263E1066" w14:textId="77777777" w:rsidR="002031FE" w:rsidRPr="00665820" w:rsidRDefault="002031FE" w:rsidP="002031FE">
            <w:pPr>
              <w:pStyle w:val="ListParagraph"/>
              <w:numPr>
                <w:ilvl w:val="0"/>
                <w:numId w:val="2"/>
              </w:num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Employee - Basic Timesheet Entry</w:t>
            </w:r>
          </w:p>
          <w:p w14:paraId="3607DD51" w14:textId="77777777" w:rsidR="002031FE" w:rsidRPr="00665820" w:rsidRDefault="002031FE" w:rsidP="002031FE">
            <w:pPr>
              <w:pStyle w:val="ListParagraph"/>
              <w:numPr>
                <w:ilvl w:val="0"/>
                <w:numId w:val="2"/>
              </w:num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Employee - Employee Record</w:t>
            </w:r>
            <w:r w:rsidRPr="00665820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</w:t>
            </w:r>
          </w:p>
          <w:p w14:paraId="66C2321B" w14:textId="77777777" w:rsidR="002031FE" w:rsidRPr="00665820" w:rsidRDefault="002031FE" w:rsidP="002031FE">
            <w:pPr>
              <w:pStyle w:val="ListParagraph"/>
              <w:numPr>
                <w:ilvl w:val="0"/>
                <w:numId w:val="2"/>
              </w:num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Employee - Benefits Enrollment</w:t>
            </w:r>
          </w:p>
          <w:p w14:paraId="4309332A" w14:textId="77777777" w:rsidR="002031FE" w:rsidRDefault="002031FE" w:rsidP="002031FE">
            <w:pPr>
              <w:pStyle w:val="ListParagraph"/>
              <w:numPr>
                <w:ilvl w:val="0"/>
                <w:numId w:val="2"/>
              </w:num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Employee - </w:t>
            </w:r>
            <w:r w:rsidRPr="00665820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Onboarding</w:t>
            </w: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 and W-4 Tasks</w:t>
            </w:r>
          </w:p>
          <w:p w14:paraId="52FCA7AD" w14:textId="77777777" w:rsidR="002031FE" w:rsidRPr="00665820" w:rsidRDefault="002031FE" w:rsidP="002031FE">
            <w:pPr>
              <w:pStyle w:val="ListParagraph"/>
              <w:numPr>
                <w:ilvl w:val="0"/>
                <w:numId w:val="2"/>
              </w:num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 xml:space="preserve">Employee - </w:t>
            </w:r>
            <w:r w:rsidRPr="00665820"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  <w:t>Apply for Jobs</w:t>
            </w:r>
          </w:p>
          <w:p w14:paraId="18772A7C" w14:textId="77777777" w:rsidR="00D550A0" w:rsidRPr="00AD4F44" w:rsidRDefault="00D550A0" w:rsidP="00AD4F44">
            <w:pPr>
              <w:rPr>
                <w:rFonts w:ascii="Arial" w:eastAsia="PMingLiU" w:hAnsi="Arial" w:cs="Arial"/>
                <w:color w:val="000000"/>
                <w:sz w:val="20"/>
                <w:szCs w:val="20"/>
                <w:lang w:eastAsia="zh-TW"/>
              </w:rPr>
            </w:pPr>
          </w:p>
          <w:p w14:paraId="02F45054" w14:textId="5C1DE713" w:rsidR="002031FE" w:rsidRDefault="002031FE" w:rsidP="002031FE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>Additional e-learnings for managers (total 9) and employees (total 14) will be released during this time as well.</w:t>
            </w:r>
            <w:r w:rsidRPr="288F2E0F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>Please see the attached checklist with the release schedule.</w:t>
            </w:r>
          </w:p>
          <w:p w14:paraId="3E17AE5C" w14:textId="77777777" w:rsidR="00E95A83" w:rsidRDefault="00E95A83" w:rsidP="00744E0B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  <w:p w14:paraId="0261642D" w14:textId="77777777" w:rsidR="002031FE" w:rsidRDefault="002031FE" w:rsidP="002031FE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26E40278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The purpose of the self-paced trainings is to support a smooth transition to Luma for all employees and managers in a schedule-friendly manner. </w:t>
            </w: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US" w:eastAsia="zh-TW"/>
              </w:rPr>
              <w:t>T</w:t>
            </w:r>
            <w:r w:rsidRPr="26E40278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US" w:eastAsia="zh-TW"/>
              </w:rPr>
              <w:t xml:space="preserve">here are no firm due dates for e-learning training completion, </w:t>
            </w: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US" w:eastAsia="zh-TW"/>
              </w:rPr>
              <w:t>but please encourage your staff to take training prior to June 20</w:t>
            </w:r>
            <w:r w:rsidRPr="00E00045">
              <w:rPr>
                <w:rFonts w:ascii="Arial" w:eastAsia="PMingLiU" w:hAnsi="Arial" w:cs="Arial"/>
                <w:color w:val="000000" w:themeColor="text1"/>
                <w:sz w:val="20"/>
                <w:szCs w:val="20"/>
                <w:vertAlign w:val="superscript"/>
                <w:lang w:val="en-US" w:eastAsia="zh-TW"/>
              </w:rPr>
              <w:t>th</w:t>
            </w: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US" w:eastAsia="zh-TW"/>
              </w:rPr>
              <w:t>. The e-learnings can be taken multiple times, and will continue to be available after June 20</w:t>
            </w:r>
            <w:r w:rsidRPr="00E00045">
              <w:rPr>
                <w:rFonts w:ascii="Arial" w:eastAsia="PMingLiU" w:hAnsi="Arial" w:cs="Arial"/>
                <w:color w:val="000000" w:themeColor="text1"/>
                <w:sz w:val="20"/>
                <w:szCs w:val="20"/>
                <w:vertAlign w:val="superscript"/>
                <w:lang w:val="en-US" w:eastAsia="zh-TW"/>
              </w:rPr>
              <w:t>th</w:t>
            </w:r>
            <w: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val="en-US" w:eastAsia="zh-TW"/>
              </w:rPr>
              <w:t xml:space="preserve">. </w:t>
            </w:r>
          </w:p>
          <w:p w14:paraId="4619E3C2" w14:textId="77777777" w:rsidR="002031FE" w:rsidRDefault="002031FE" w:rsidP="00744E0B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  <w:p w14:paraId="7D2C4471" w14:textId="09780473" w:rsidR="00900BAD" w:rsidRDefault="00900BAD" w:rsidP="00900BAD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  <w:r w:rsidRPr="288F2E0F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>To prevent surprises or confusion,</w:t>
            </w:r>
            <w:r w:rsidR="00D97292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please share the accompanying</w:t>
            </w:r>
            <w:r w:rsidRPr="288F2E0F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guidance</w:t>
            </w:r>
            <w:r w:rsidR="002031FE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and instruction</w:t>
            </w:r>
            <w:r w:rsidR="00D97292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</w:t>
            </w:r>
            <w:r w:rsidR="002031FE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documents with </w:t>
            </w:r>
            <w:r w:rsidR="00D97292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>managers</w:t>
            </w:r>
            <w:r w:rsidR="002031FE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and/or employees</w:t>
            </w:r>
            <w:r w:rsidR="00D97292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in your agency</w:t>
            </w:r>
            <w:r w:rsidRPr="288F2E0F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to help familiarize </w:t>
            </w:r>
            <w:r w:rsidR="002031FE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>them</w:t>
            </w:r>
            <w:r w:rsidRPr="288F2E0F"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  <w:t xml:space="preserve"> with Luma, emphasize the importance of completing these trainings, and help them prioritize their learning.</w:t>
            </w:r>
          </w:p>
          <w:p w14:paraId="4EE14884" w14:textId="77777777" w:rsidR="00572352" w:rsidRDefault="00572352" w:rsidP="00900BAD">
            <w:pPr>
              <w:rPr>
                <w:rFonts w:ascii="Arial" w:eastAsia="PMingLiU" w:hAnsi="Arial" w:cs="Arial"/>
                <w:color w:val="000000" w:themeColor="text1"/>
                <w:sz w:val="20"/>
                <w:szCs w:val="20"/>
                <w:lang w:eastAsia="zh-TW"/>
              </w:rPr>
            </w:pPr>
          </w:p>
          <w:p w14:paraId="6DD31872" w14:textId="762B5D78" w:rsidR="002031FE" w:rsidRDefault="002031FE" w:rsidP="002031F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26E40278">
              <w:rPr>
                <w:rFonts w:ascii="Arial" w:eastAsia="PMingLiU" w:hAnsi="Arial" w:cs="Arial"/>
                <w:sz w:val="20"/>
                <w:szCs w:val="20"/>
                <w:lang w:eastAsia="zh-TW"/>
              </w:rPr>
              <w:t>Agency employees will be able to access e-learning starting on May 3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00A46F25">
              <w:rPr>
                <w:rFonts w:ascii="Arial" w:eastAsia="PMingLiU" w:hAnsi="Arial" w:cs="Arial"/>
                <w:sz w:val="20"/>
                <w:szCs w:val="20"/>
                <w:vertAlign w:val="superscript"/>
                <w:lang w:eastAsia="zh-TW"/>
              </w:rPr>
              <w:t>st</w:t>
            </w:r>
            <w:r w:rsidRPr="26E40278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by logging into the SCO Enterprise Dashboard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and clicking on the “Luma Training” tile</w:t>
            </w:r>
            <w:r w:rsidRPr="26E40278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Please use all communication channels available to you to notify your staff of this critical resource.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 Please note, your Agency Leadership also received a similar communication on this topic.</w:t>
            </w:r>
          </w:p>
          <w:p w14:paraId="255BB721" w14:textId="4A8D3691" w:rsidR="00327709" w:rsidRDefault="00327709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18D136E8" w14:textId="2DF0A9F6" w:rsidR="00B72CCF" w:rsidRDefault="00B72CCF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In advance, thank you for helping</w:t>
            </w:r>
            <w:r w:rsidR="00D20DDE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to prepare State of Idaho employees to be successful</w:t>
            </w:r>
            <w:r w:rsidR="009C530C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</w:t>
            </w:r>
          </w:p>
          <w:p w14:paraId="32053A91" w14:textId="77777777" w:rsidR="009C530C" w:rsidRDefault="009C530C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697CBF0B" w14:textId="58D0CCC4" w:rsidR="00AD4F44" w:rsidRPr="00AD4F44" w:rsidRDefault="00AD4F44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D4F44">
              <w:rPr>
                <w:rFonts w:ascii="Arial" w:eastAsia="PMingLiU" w:hAnsi="Arial" w:cs="Arial"/>
                <w:sz w:val="20"/>
                <w:szCs w:val="20"/>
                <w:lang w:eastAsia="zh-TW"/>
              </w:rPr>
              <w:t>Best,</w:t>
            </w:r>
          </w:p>
          <w:p w14:paraId="71B9F51D" w14:textId="77777777" w:rsidR="00AD4F44" w:rsidRPr="00AD4F44" w:rsidRDefault="00AD4F44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05FD5DDD" w14:textId="0AE73DFC" w:rsidR="00AD4F44" w:rsidRPr="00AD4F44" w:rsidRDefault="00FA2CC1" w:rsidP="00AD4F44">
            <w:pPr>
              <w:spacing w:line="360" w:lineRule="auto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Luma Project Leadership</w:t>
            </w:r>
          </w:p>
        </w:tc>
      </w:tr>
    </w:tbl>
    <w:p w14:paraId="0A56A516" w14:textId="77777777" w:rsidR="00E23425" w:rsidRDefault="001C7782"/>
    <w:sectPr w:rsidR="00E23425" w:rsidSect="009C530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EB6D" w14:textId="77777777" w:rsidR="001C7782" w:rsidRDefault="001C7782" w:rsidP="00327709">
      <w:pPr>
        <w:spacing w:after="0" w:line="240" w:lineRule="auto"/>
      </w:pPr>
      <w:r>
        <w:separator/>
      </w:r>
    </w:p>
  </w:endnote>
  <w:endnote w:type="continuationSeparator" w:id="0">
    <w:p w14:paraId="686703D0" w14:textId="77777777" w:rsidR="001C7782" w:rsidRDefault="001C7782" w:rsidP="00327709">
      <w:pPr>
        <w:spacing w:after="0" w:line="240" w:lineRule="auto"/>
      </w:pPr>
      <w:r>
        <w:continuationSeparator/>
      </w:r>
    </w:p>
  </w:endnote>
  <w:endnote w:type="continuationNotice" w:id="1">
    <w:p w14:paraId="4937C754" w14:textId="77777777" w:rsidR="001C7782" w:rsidRDefault="001C77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stotelica Display Trial">
    <w:altName w:val="Calibri"/>
    <w:charset w:val="00"/>
    <w:family w:val="auto"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677A" w14:textId="77777777" w:rsidR="001C7782" w:rsidRDefault="001C7782" w:rsidP="00327709">
      <w:pPr>
        <w:spacing w:after="0" w:line="240" w:lineRule="auto"/>
      </w:pPr>
      <w:r>
        <w:separator/>
      </w:r>
    </w:p>
  </w:footnote>
  <w:footnote w:type="continuationSeparator" w:id="0">
    <w:p w14:paraId="6EB2BC62" w14:textId="77777777" w:rsidR="001C7782" w:rsidRDefault="001C7782" w:rsidP="00327709">
      <w:pPr>
        <w:spacing w:after="0" w:line="240" w:lineRule="auto"/>
      </w:pPr>
      <w:r>
        <w:continuationSeparator/>
      </w:r>
    </w:p>
  </w:footnote>
  <w:footnote w:type="continuationNotice" w:id="1">
    <w:p w14:paraId="322AED09" w14:textId="77777777" w:rsidR="001C7782" w:rsidRDefault="001C77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2E8F"/>
    <w:multiLevelType w:val="hybridMultilevel"/>
    <w:tmpl w:val="E1A2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151E3"/>
    <w:multiLevelType w:val="hybridMultilevel"/>
    <w:tmpl w:val="6AA84C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44"/>
    <w:rsid w:val="00016040"/>
    <w:rsid w:val="00031C77"/>
    <w:rsid w:val="000B2693"/>
    <w:rsid w:val="000D3578"/>
    <w:rsid w:val="00124733"/>
    <w:rsid w:val="0017422A"/>
    <w:rsid w:val="00174E9E"/>
    <w:rsid w:val="00180C25"/>
    <w:rsid w:val="001863DA"/>
    <w:rsid w:val="00196B05"/>
    <w:rsid w:val="001B657A"/>
    <w:rsid w:val="001C7782"/>
    <w:rsid w:val="002031FE"/>
    <w:rsid w:val="00241F61"/>
    <w:rsid w:val="002779D1"/>
    <w:rsid w:val="00280A3D"/>
    <w:rsid w:val="002F2C3E"/>
    <w:rsid w:val="002F2E5F"/>
    <w:rsid w:val="00327709"/>
    <w:rsid w:val="00337C09"/>
    <w:rsid w:val="003550AF"/>
    <w:rsid w:val="00363927"/>
    <w:rsid w:val="00394A4D"/>
    <w:rsid w:val="003B55D8"/>
    <w:rsid w:val="003C3EB7"/>
    <w:rsid w:val="004138EC"/>
    <w:rsid w:val="00485C47"/>
    <w:rsid w:val="004F717D"/>
    <w:rsid w:val="00546386"/>
    <w:rsid w:val="00547E16"/>
    <w:rsid w:val="0055738A"/>
    <w:rsid w:val="00572352"/>
    <w:rsid w:val="005A0D31"/>
    <w:rsid w:val="00627B45"/>
    <w:rsid w:val="00634A57"/>
    <w:rsid w:val="00660E92"/>
    <w:rsid w:val="00665820"/>
    <w:rsid w:val="006B02A8"/>
    <w:rsid w:val="006F1A32"/>
    <w:rsid w:val="006F4D95"/>
    <w:rsid w:val="0074458F"/>
    <w:rsid w:val="00744E0B"/>
    <w:rsid w:val="00745C01"/>
    <w:rsid w:val="00773485"/>
    <w:rsid w:val="0078349D"/>
    <w:rsid w:val="007A1416"/>
    <w:rsid w:val="007D4279"/>
    <w:rsid w:val="008108E8"/>
    <w:rsid w:val="008E6123"/>
    <w:rsid w:val="008F02AB"/>
    <w:rsid w:val="00900BAD"/>
    <w:rsid w:val="00901682"/>
    <w:rsid w:val="0091613B"/>
    <w:rsid w:val="00925671"/>
    <w:rsid w:val="00965647"/>
    <w:rsid w:val="009735A0"/>
    <w:rsid w:val="00984255"/>
    <w:rsid w:val="009C35F6"/>
    <w:rsid w:val="009C530C"/>
    <w:rsid w:val="009D7BF2"/>
    <w:rsid w:val="00A4073A"/>
    <w:rsid w:val="00A46F25"/>
    <w:rsid w:val="00A511C2"/>
    <w:rsid w:val="00AC43D8"/>
    <w:rsid w:val="00AC442E"/>
    <w:rsid w:val="00AD0AA9"/>
    <w:rsid w:val="00AD4F44"/>
    <w:rsid w:val="00B04781"/>
    <w:rsid w:val="00B21EF8"/>
    <w:rsid w:val="00B3168D"/>
    <w:rsid w:val="00B72CCF"/>
    <w:rsid w:val="00BA24A8"/>
    <w:rsid w:val="00BB0952"/>
    <w:rsid w:val="00BC0442"/>
    <w:rsid w:val="00BE1D4B"/>
    <w:rsid w:val="00C00C36"/>
    <w:rsid w:val="00C054B8"/>
    <w:rsid w:val="00C31C2E"/>
    <w:rsid w:val="00C93CE6"/>
    <w:rsid w:val="00CC1661"/>
    <w:rsid w:val="00CE0C0E"/>
    <w:rsid w:val="00D20DDE"/>
    <w:rsid w:val="00D347E5"/>
    <w:rsid w:val="00D550A0"/>
    <w:rsid w:val="00D7286B"/>
    <w:rsid w:val="00D97292"/>
    <w:rsid w:val="00DC61BC"/>
    <w:rsid w:val="00E134C3"/>
    <w:rsid w:val="00E15705"/>
    <w:rsid w:val="00E15E83"/>
    <w:rsid w:val="00E21692"/>
    <w:rsid w:val="00E45BDC"/>
    <w:rsid w:val="00E66374"/>
    <w:rsid w:val="00E87531"/>
    <w:rsid w:val="00E9269C"/>
    <w:rsid w:val="00E95A83"/>
    <w:rsid w:val="00E96D76"/>
    <w:rsid w:val="00EC3BFA"/>
    <w:rsid w:val="00ED3EF7"/>
    <w:rsid w:val="00EE3417"/>
    <w:rsid w:val="00F17026"/>
    <w:rsid w:val="00F449EE"/>
    <w:rsid w:val="00F632AE"/>
    <w:rsid w:val="00F64E5C"/>
    <w:rsid w:val="00F74710"/>
    <w:rsid w:val="00FA2CC1"/>
    <w:rsid w:val="00FD6FBD"/>
    <w:rsid w:val="00FE5987"/>
    <w:rsid w:val="00FF107F"/>
    <w:rsid w:val="288F2E0F"/>
    <w:rsid w:val="6962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E98C"/>
  <w15:chartTrackingRefBased/>
  <w15:docId w15:val="{C39DD5D3-4E08-4759-A3F4-3DAA492F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D4F44"/>
    <w:pPr>
      <w:spacing w:after="0" w:line="240" w:lineRule="auto"/>
    </w:pPr>
    <w:rPr>
      <w:sz w:val="24"/>
      <w:szCs w:val="24"/>
      <w:lang w:val="en-GB"/>
    </w:rPr>
    <w:tblPr/>
  </w:style>
  <w:style w:type="table" w:styleId="TableGrid">
    <w:name w:val="Table Grid"/>
    <w:basedOn w:val="TableNormal"/>
    <w:uiPriority w:val="39"/>
    <w:rsid w:val="00AD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5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4B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5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07F"/>
  </w:style>
  <w:style w:type="paragraph" w:styleId="Footer">
    <w:name w:val="footer"/>
    <w:basedOn w:val="Normal"/>
    <w:link w:val="FooterChar"/>
    <w:uiPriority w:val="99"/>
    <w:semiHidden/>
    <w:unhideWhenUsed/>
    <w:rsid w:val="00FF1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F217809322C4EB40723CD59B1A830" ma:contentTypeVersion="9" ma:contentTypeDescription="Create a new document." ma:contentTypeScope="" ma:versionID="891d3a1e3088f23fe6a2fdb58bbdfda8">
  <xsd:schema xmlns:xsd="http://www.w3.org/2001/XMLSchema" xmlns:xs="http://www.w3.org/2001/XMLSchema" xmlns:p="http://schemas.microsoft.com/office/2006/metadata/properties" xmlns:ns2="56e39fe9-8c9c-4ca4-8c49-05e26bb612b9" xmlns:ns3="9d46cf29-f11b-4b2c-98bc-95c8a3d5abf6" targetNamespace="http://schemas.microsoft.com/office/2006/metadata/properties" ma:root="true" ma:fieldsID="a8d16a1c5b46bd78e7a45fe209601535" ns2:_="" ns3:_="">
    <xsd:import namespace="56e39fe9-8c9c-4ca4-8c49-05e26bb612b9"/>
    <xsd:import namespace="9d46cf29-f11b-4b2c-98bc-95c8a3d5a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9fe9-8c9c-4ca4-8c49-05e26bb61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cf29-f11b-4b2c-98bc-95c8a3d5a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282281-1ead-432c-a3f5-c97855b85a2d}" ma:internalName="TaxCatchAll" ma:showField="CatchAllData" ma:web="9d46cf29-f11b-4b2c-98bc-95c8a3d5a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6cf29-f11b-4b2c-98bc-95c8a3d5abf6" xsi:nil="true"/>
    <lcf76f155ced4ddcb4097134ff3c332f xmlns="56e39fe9-8c9c-4ca4-8c49-05e26bb612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02F8BE-AB38-4D82-9458-5C2A17D5CF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EF732-6EBE-4820-A100-3898DE4B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39fe9-8c9c-4ca4-8c49-05e26bb612b9"/>
    <ds:schemaRef ds:uri="9d46cf29-f11b-4b2c-98bc-95c8a3d5a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86E1B-7635-4288-92B5-17338E4CA0F3}">
  <ds:schemaRefs>
    <ds:schemaRef ds:uri="http://schemas.microsoft.com/office/2006/metadata/properties"/>
    <ds:schemaRef ds:uri="http://schemas.microsoft.com/office/infopath/2007/PartnerControls"/>
    <ds:schemaRef ds:uri="9d46cf29-f11b-4b2c-98bc-95c8a3d5abf6"/>
    <ds:schemaRef ds:uri="56e39fe9-8c9c-4ca4-8c49-05e26bb612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Romanov, Elizabeth</dc:creator>
  <cp:keywords/>
  <dc:description/>
  <cp:lastModifiedBy>Sheena Coles</cp:lastModifiedBy>
  <cp:revision>3</cp:revision>
  <dcterms:created xsi:type="dcterms:W3CDTF">2023-05-31T04:56:00Z</dcterms:created>
  <dcterms:modified xsi:type="dcterms:W3CDTF">2023-05-31T18:57:00Z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2023-05-24T15:11:58Z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e707fef7-7cdb-4c32-b039-c4ea564bffd0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0x01010097CF217809322C4EB40723CD59B1A830</vt:lpwstr>
  </property>
  <property fmtid="{D5CDD505-2E9C-101B-9397-08002B2CF9AE}" pid="10" name="MediaServiceImageTags">
    <vt:lpwstr/>
  </property>
</Properties>
</file>