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10567" w14:textId="77777777" w:rsidR="005343F8" w:rsidRPr="000C0397" w:rsidRDefault="005343F8" w:rsidP="005343F8">
      <w:pPr>
        <w:rPr>
          <w:b/>
          <w:bCs/>
          <w:sz w:val="24"/>
          <w:szCs w:val="24"/>
          <w:u w:val="single"/>
        </w:rPr>
      </w:pPr>
      <w:r w:rsidRPr="000C0397">
        <w:rPr>
          <w:b/>
          <w:bCs/>
          <w:sz w:val="24"/>
          <w:szCs w:val="24"/>
          <w:u w:val="single"/>
        </w:rPr>
        <w:t>Proposed Process Changes for Methodology for Recognizing a TIM Framework Dataset– G350</w:t>
      </w:r>
    </w:p>
    <w:p w14:paraId="13893037" w14:textId="77777777" w:rsidR="00B125D8" w:rsidRDefault="00B125D8"/>
    <w:p w14:paraId="110B61C2" w14:textId="16723663" w:rsidR="005343F8" w:rsidRPr="000C0397" w:rsidRDefault="0077563C">
      <w:pPr>
        <w:rPr>
          <w:b/>
          <w:bCs/>
          <w:u w:val="single"/>
        </w:rPr>
      </w:pPr>
      <w:r w:rsidRPr="000C0397">
        <w:rPr>
          <w:b/>
          <w:bCs/>
          <w:u w:val="single"/>
        </w:rPr>
        <w:t>Guideline</w:t>
      </w:r>
      <w:r w:rsidR="000C0397">
        <w:rPr>
          <w:b/>
          <w:bCs/>
          <w:u w:val="single"/>
        </w:rPr>
        <w:t xml:space="preserve"> (updated)</w:t>
      </w:r>
    </w:p>
    <w:p w14:paraId="7CB216A8" w14:textId="77777777" w:rsidR="00A561D6" w:rsidRPr="00A561D6" w:rsidRDefault="0077563C" w:rsidP="00A561D6">
      <w:pPr>
        <w:pStyle w:val="ListParagraph"/>
        <w:numPr>
          <w:ilvl w:val="0"/>
          <w:numId w:val="2"/>
        </w:numPr>
        <w:spacing w:line="276" w:lineRule="auto"/>
      </w:pPr>
      <w:r w:rsidRPr="00A561D6">
        <w:rPr>
          <w:rFonts w:ascii="Times New Roman" w:eastAsiaTheme="minorHAnsi" w:hAnsi="Times New Roman" w:cstheme="minorBidi"/>
        </w:rPr>
        <w:t xml:space="preserve">The chair of a TWG or any member of the IGC </w:t>
      </w:r>
      <w:r w:rsidR="00A561D6">
        <w:rPr>
          <w:rFonts w:ascii="Times New Roman" w:eastAsiaTheme="minorHAnsi" w:hAnsi="Times New Roman" w:cstheme="minorBidi"/>
        </w:rPr>
        <w:t xml:space="preserve">(nominating authority) </w:t>
      </w:r>
      <w:r w:rsidRPr="00A561D6">
        <w:rPr>
          <w:rFonts w:ascii="Times New Roman" w:eastAsiaTheme="minorHAnsi" w:hAnsi="Times New Roman" w:cstheme="minorBidi"/>
        </w:rPr>
        <w:t>can nominate a dataset to be recognized as a</w:t>
      </w:r>
      <w:r w:rsidR="00A561D6">
        <w:rPr>
          <w:rFonts w:ascii="Times New Roman" w:eastAsiaTheme="minorHAnsi" w:hAnsi="Times New Roman" w:cstheme="minorBidi"/>
        </w:rPr>
        <w:t>n authoritative</w:t>
      </w:r>
      <w:r w:rsidRPr="00A561D6">
        <w:rPr>
          <w:rFonts w:ascii="Times New Roman" w:eastAsiaTheme="minorHAnsi" w:hAnsi="Times New Roman" w:cstheme="minorBidi"/>
        </w:rPr>
        <w:t xml:space="preserve"> TIM Framework dataset by submitting the approved nomination form to the Chair of the IGC-EC</w:t>
      </w:r>
    </w:p>
    <w:p w14:paraId="571C1A4C" w14:textId="77777777" w:rsidR="00A561D6" w:rsidRDefault="0003205E" w:rsidP="00A561D6">
      <w:pPr>
        <w:pStyle w:val="ListParagraph"/>
        <w:numPr>
          <w:ilvl w:val="0"/>
          <w:numId w:val="2"/>
        </w:numPr>
        <w:spacing w:line="276" w:lineRule="auto"/>
        <w:ind w:right="-36"/>
        <w:rPr>
          <w:rFonts w:ascii="Times New Roman" w:eastAsiaTheme="minorHAnsi" w:hAnsi="Times New Roman" w:cstheme="minorBidi"/>
        </w:rPr>
      </w:pPr>
      <w:r w:rsidRPr="00A561D6">
        <w:rPr>
          <w:rFonts w:ascii="Times New Roman" w:eastAsiaTheme="minorHAnsi" w:hAnsi="Times New Roman" w:cstheme="minorBidi"/>
        </w:rPr>
        <w:t>Prior to nominating the dataset, the nominating authority should determine if there is an approved ITA data standard for that dataset</w:t>
      </w:r>
    </w:p>
    <w:p w14:paraId="6C29CBC5" w14:textId="77777777" w:rsidR="00A561D6" w:rsidRDefault="0003205E" w:rsidP="00A561D6">
      <w:pPr>
        <w:pStyle w:val="ListParagraph"/>
        <w:numPr>
          <w:ilvl w:val="1"/>
          <w:numId w:val="2"/>
        </w:numPr>
        <w:spacing w:line="276" w:lineRule="auto"/>
        <w:ind w:right="-36"/>
        <w:rPr>
          <w:rFonts w:ascii="Times New Roman" w:eastAsiaTheme="minorHAnsi" w:hAnsi="Times New Roman" w:cstheme="minorBidi"/>
        </w:rPr>
      </w:pPr>
      <w:r w:rsidRPr="00A561D6">
        <w:rPr>
          <w:rFonts w:ascii="Times New Roman" w:eastAsiaTheme="minorHAnsi" w:hAnsi="Times New Roman" w:cstheme="minorBidi"/>
        </w:rPr>
        <w:t>If there is no currently approved standard, the nominating authority will begin the standard development process as outlined in ITA Policy P5030 (Framework Standards Development)</w:t>
      </w:r>
    </w:p>
    <w:p w14:paraId="1A7B2F91" w14:textId="77777777" w:rsidR="00A561D6" w:rsidRPr="00A561D6" w:rsidRDefault="0003205E" w:rsidP="00A561D6">
      <w:pPr>
        <w:pStyle w:val="ListParagraph"/>
        <w:numPr>
          <w:ilvl w:val="1"/>
          <w:numId w:val="2"/>
        </w:numPr>
        <w:spacing w:line="276" w:lineRule="auto"/>
        <w:ind w:right="-36"/>
        <w:rPr>
          <w:rFonts w:ascii="Times New Roman" w:eastAsiaTheme="minorHAnsi" w:hAnsi="Times New Roman" w:cstheme="minorBidi"/>
        </w:rPr>
      </w:pPr>
      <w:r w:rsidRPr="00A561D6">
        <w:rPr>
          <w:rFonts w:ascii="Times New Roman" w:eastAsiaTheme="minorHAnsi" w:hAnsi="Times New Roman" w:cstheme="minorBidi"/>
        </w:rPr>
        <w:t xml:space="preserve">If an approved standard exists, the </w:t>
      </w:r>
      <w:r w:rsidR="00A561D6">
        <w:rPr>
          <w:rFonts w:ascii="Times New Roman" w:eastAsiaTheme="minorHAnsi" w:hAnsi="Times New Roman" w:cstheme="minorBidi"/>
        </w:rPr>
        <w:t xml:space="preserve">Nominating Authority </w:t>
      </w:r>
      <w:r w:rsidRPr="00A561D6">
        <w:rPr>
          <w:rFonts w:ascii="Times New Roman" w:eastAsiaTheme="minorHAnsi" w:hAnsi="Times New Roman" w:cstheme="minorBidi"/>
        </w:rPr>
        <w:t xml:space="preserve">should </w:t>
      </w:r>
      <w:r w:rsidR="00A561D6">
        <w:rPr>
          <w:rFonts w:ascii="Times New Roman" w:eastAsiaTheme="minorHAnsi" w:hAnsi="Times New Roman" w:cstheme="minorBidi"/>
        </w:rPr>
        <w:t xml:space="preserve">submit the approved nomination form </w:t>
      </w:r>
      <w:r w:rsidRPr="00A561D6">
        <w:rPr>
          <w:rFonts w:ascii="Times New Roman" w:eastAsiaTheme="minorHAnsi" w:hAnsi="Times New Roman" w:cstheme="minorBidi"/>
        </w:rPr>
        <w:t>to the Chair of the IGC-EC</w:t>
      </w:r>
    </w:p>
    <w:p w14:paraId="02DC8FD7" w14:textId="0687067D" w:rsidR="00A561D6" w:rsidRDefault="0077563C" w:rsidP="00A561D6">
      <w:pPr>
        <w:pStyle w:val="ListParagraph"/>
        <w:numPr>
          <w:ilvl w:val="0"/>
          <w:numId w:val="2"/>
        </w:numPr>
        <w:spacing w:line="276" w:lineRule="auto"/>
        <w:ind w:right="-36"/>
        <w:rPr>
          <w:rFonts w:ascii="Times New Roman" w:eastAsiaTheme="minorHAnsi" w:hAnsi="Times New Roman" w:cstheme="minorBidi"/>
        </w:rPr>
      </w:pPr>
      <w:r w:rsidRPr="00A561D6">
        <w:rPr>
          <w:rFonts w:ascii="Times New Roman" w:eastAsiaTheme="minorHAnsi" w:hAnsi="Times New Roman" w:cstheme="minorBidi"/>
        </w:rPr>
        <w:t>The Chair of the IGC-EC will send the nomination to the appropriate Framework Data Theme TWG for review and recommendation</w:t>
      </w:r>
    </w:p>
    <w:p w14:paraId="05109E2A" w14:textId="397AE697" w:rsidR="00510AE2" w:rsidRDefault="00510AE2" w:rsidP="00510AE2">
      <w:pPr>
        <w:pStyle w:val="ListParagraph"/>
        <w:numPr>
          <w:ilvl w:val="1"/>
          <w:numId w:val="2"/>
        </w:numPr>
        <w:spacing w:line="276" w:lineRule="auto"/>
        <w:ind w:right="-36"/>
        <w:rPr>
          <w:rFonts w:ascii="Times New Roman" w:eastAsiaTheme="minorHAnsi" w:hAnsi="Times New Roman" w:cstheme="minorBidi"/>
        </w:rPr>
      </w:pPr>
      <w:r>
        <w:rPr>
          <w:rFonts w:ascii="Times New Roman" w:eastAsiaTheme="minorHAnsi" w:hAnsi="Times New Roman" w:cstheme="minorBidi"/>
        </w:rPr>
        <w:t>The TWG will review the nomination for recognition.  Discussion and the final recommendation will be documented in the TWG meeting minutes</w:t>
      </w:r>
    </w:p>
    <w:p w14:paraId="3AED1176" w14:textId="68701C6F" w:rsidR="009B147A" w:rsidRDefault="009B147A" w:rsidP="009B147A">
      <w:pPr>
        <w:pStyle w:val="ListParagraph"/>
        <w:numPr>
          <w:ilvl w:val="2"/>
          <w:numId w:val="2"/>
        </w:numPr>
        <w:spacing w:line="276" w:lineRule="auto"/>
        <w:ind w:right="-36"/>
        <w:rPr>
          <w:rFonts w:ascii="Times New Roman" w:eastAsiaTheme="minorHAnsi" w:hAnsi="Times New Roman" w:cstheme="minorBidi"/>
        </w:rPr>
      </w:pPr>
      <w:r>
        <w:rPr>
          <w:rFonts w:ascii="Times New Roman" w:eastAsiaTheme="minorHAnsi" w:hAnsi="Times New Roman" w:cstheme="minorBidi"/>
        </w:rPr>
        <w:t>If there are multiple different datasets nominated for the same geographic area, the TWG for each Framework Data Theme will arbitrate and decide which dataset shall be recognized</w:t>
      </w:r>
    </w:p>
    <w:p w14:paraId="2FFFC6BC" w14:textId="7F2AD77B" w:rsidR="005413C7" w:rsidRDefault="005413C7" w:rsidP="009B147A">
      <w:pPr>
        <w:pStyle w:val="ListParagraph"/>
        <w:numPr>
          <w:ilvl w:val="2"/>
          <w:numId w:val="2"/>
        </w:numPr>
        <w:spacing w:line="276" w:lineRule="auto"/>
        <w:ind w:right="-36"/>
        <w:rPr>
          <w:rFonts w:ascii="Times New Roman" w:eastAsiaTheme="minorHAnsi" w:hAnsi="Times New Roman" w:cstheme="minorBidi"/>
        </w:rPr>
      </w:pPr>
      <w:r>
        <w:rPr>
          <w:rFonts w:ascii="Times New Roman" w:eastAsiaTheme="minorHAnsi" w:hAnsi="Times New Roman" w:cstheme="minorBidi"/>
        </w:rPr>
        <w:t>If a different dataset is presented to the IGC-EC as a better Framework dataset than a currently recognized dataset, the TWG for the appropriate Framework Data Theme will review the nomination and decide which dataset shall be recognized</w:t>
      </w:r>
    </w:p>
    <w:p w14:paraId="6286ED7D" w14:textId="77777777" w:rsidR="00A561D6" w:rsidRDefault="0077563C" w:rsidP="00A561D6">
      <w:pPr>
        <w:pStyle w:val="ListParagraph"/>
        <w:numPr>
          <w:ilvl w:val="1"/>
          <w:numId w:val="2"/>
        </w:numPr>
        <w:spacing w:line="276" w:lineRule="auto"/>
        <w:ind w:right="-36"/>
        <w:rPr>
          <w:rFonts w:ascii="Times New Roman" w:eastAsiaTheme="minorHAnsi" w:hAnsi="Times New Roman" w:cstheme="minorBidi"/>
        </w:rPr>
      </w:pPr>
      <w:r w:rsidRPr="00A561D6">
        <w:rPr>
          <w:rFonts w:ascii="Times New Roman" w:eastAsiaTheme="minorHAnsi" w:hAnsi="Times New Roman" w:cstheme="minorBidi"/>
        </w:rPr>
        <w:t xml:space="preserve">If </w:t>
      </w:r>
      <w:r w:rsidR="0003205E" w:rsidRPr="00A561D6">
        <w:rPr>
          <w:rFonts w:ascii="Times New Roman" w:eastAsiaTheme="minorHAnsi" w:hAnsi="Times New Roman" w:cstheme="minorBidi"/>
        </w:rPr>
        <w:t>a TWG does not exist, the IGC-EC will determine if a TWG is needed for the nomination of the proposed dataset</w:t>
      </w:r>
    </w:p>
    <w:p w14:paraId="6D51D211" w14:textId="77777777" w:rsidR="00A561D6" w:rsidRDefault="0003205E" w:rsidP="00A561D6">
      <w:pPr>
        <w:pStyle w:val="ListParagraph"/>
        <w:numPr>
          <w:ilvl w:val="2"/>
          <w:numId w:val="2"/>
        </w:numPr>
        <w:spacing w:line="276" w:lineRule="auto"/>
        <w:ind w:right="-36"/>
        <w:rPr>
          <w:rFonts w:ascii="Times New Roman" w:eastAsiaTheme="minorHAnsi" w:hAnsi="Times New Roman" w:cstheme="minorBidi"/>
        </w:rPr>
      </w:pPr>
      <w:r w:rsidRPr="00A561D6">
        <w:rPr>
          <w:rFonts w:ascii="Times New Roman" w:eastAsiaTheme="minorHAnsi" w:hAnsi="Times New Roman" w:cstheme="minorBidi"/>
        </w:rPr>
        <w:t>If a TWG is needed, the IGC-EC will create a TWG and that TWG will organize and meet to draft the nomination</w:t>
      </w:r>
    </w:p>
    <w:p w14:paraId="76F4B81B" w14:textId="77777777" w:rsidR="00461584" w:rsidRDefault="0003205E" w:rsidP="00461584">
      <w:pPr>
        <w:pStyle w:val="ListParagraph"/>
        <w:numPr>
          <w:ilvl w:val="2"/>
          <w:numId w:val="2"/>
        </w:numPr>
        <w:spacing w:line="276" w:lineRule="auto"/>
        <w:ind w:right="-36"/>
        <w:rPr>
          <w:rFonts w:ascii="Times New Roman" w:eastAsiaTheme="minorHAnsi" w:hAnsi="Times New Roman" w:cstheme="minorBidi"/>
        </w:rPr>
      </w:pPr>
      <w:r w:rsidRPr="00461584">
        <w:rPr>
          <w:rFonts w:ascii="Times New Roman" w:eastAsiaTheme="minorHAnsi" w:hAnsi="Times New Roman" w:cstheme="minorBidi"/>
        </w:rPr>
        <w:t xml:space="preserve">If it is determined that a TWG is not needed, an Authoritative </w:t>
      </w:r>
      <w:r w:rsidR="00A561D6" w:rsidRPr="00461584">
        <w:rPr>
          <w:rFonts w:ascii="Times New Roman" w:eastAsiaTheme="minorHAnsi" w:hAnsi="Times New Roman" w:cstheme="minorBidi"/>
        </w:rPr>
        <w:t>Data</w:t>
      </w:r>
      <w:r w:rsidRPr="00461584">
        <w:rPr>
          <w:rFonts w:ascii="Times New Roman" w:eastAsiaTheme="minorHAnsi" w:hAnsi="Times New Roman" w:cstheme="minorBidi"/>
        </w:rPr>
        <w:t xml:space="preserve"> Steward </w:t>
      </w:r>
      <w:r w:rsidR="00A561D6" w:rsidRPr="00461584">
        <w:rPr>
          <w:rFonts w:ascii="Times New Roman" w:eastAsiaTheme="minorHAnsi" w:hAnsi="Times New Roman" w:cstheme="minorBidi"/>
        </w:rPr>
        <w:t>or an existing TWG with the required knowledge</w:t>
      </w:r>
      <w:r w:rsidR="00461584" w:rsidRPr="00461584">
        <w:rPr>
          <w:rFonts w:ascii="Times New Roman" w:eastAsiaTheme="minorHAnsi" w:hAnsi="Times New Roman" w:cstheme="minorBidi"/>
        </w:rPr>
        <w:t xml:space="preserve"> </w:t>
      </w:r>
      <w:r w:rsidRPr="00461584">
        <w:rPr>
          <w:rFonts w:ascii="Times New Roman" w:eastAsiaTheme="minorHAnsi" w:hAnsi="Times New Roman" w:cstheme="minorBidi"/>
        </w:rPr>
        <w:t>will be engaged to draft the nomination</w:t>
      </w:r>
    </w:p>
    <w:p w14:paraId="2547CD3C" w14:textId="77777777" w:rsidR="00A561D6" w:rsidRPr="00461584" w:rsidRDefault="0003205E" w:rsidP="00461584">
      <w:pPr>
        <w:pStyle w:val="ListParagraph"/>
        <w:numPr>
          <w:ilvl w:val="1"/>
          <w:numId w:val="2"/>
        </w:numPr>
        <w:spacing w:line="276" w:lineRule="auto"/>
        <w:ind w:right="-36"/>
        <w:rPr>
          <w:rFonts w:ascii="Times New Roman" w:eastAsiaTheme="minorHAnsi" w:hAnsi="Times New Roman" w:cstheme="minorBidi"/>
        </w:rPr>
      </w:pPr>
      <w:r w:rsidRPr="00461584">
        <w:rPr>
          <w:rFonts w:ascii="Times New Roman" w:eastAsiaTheme="minorHAnsi" w:hAnsi="Times New Roman" w:cstheme="minorBidi"/>
        </w:rPr>
        <w:t xml:space="preserve">If there is a TWG, and </w:t>
      </w:r>
      <w:r w:rsidR="0077563C" w:rsidRPr="00461584">
        <w:rPr>
          <w:rFonts w:ascii="Times New Roman" w:eastAsiaTheme="minorHAnsi" w:hAnsi="Times New Roman" w:cstheme="minorBidi"/>
        </w:rPr>
        <w:t>that TWG is not currently active</w:t>
      </w:r>
      <w:r w:rsidRPr="00461584">
        <w:rPr>
          <w:rFonts w:ascii="Times New Roman" w:eastAsiaTheme="minorHAnsi" w:hAnsi="Times New Roman" w:cstheme="minorBidi"/>
        </w:rPr>
        <w:t xml:space="preserve">, </w:t>
      </w:r>
      <w:r w:rsidR="0077563C" w:rsidRPr="00461584">
        <w:rPr>
          <w:rFonts w:ascii="Times New Roman" w:eastAsiaTheme="minorHAnsi" w:hAnsi="Times New Roman" w:cstheme="minorBidi"/>
        </w:rPr>
        <w:t>the Chair of the IGC-EC will arrange a TWG meeting for th</w:t>
      </w:r>
      <w:r w:rsidRPr="00461584">
        <w:rPr>
          <w:rFonts w:ascii="Times New Roman" w:eastAsiaTheme="minorHAnsi" w:hAnsi="Times New Roman" w:cstheme="minorBidi"/>
        </w:rPr>
        <w:t>e</w:t>
      </w:r>
      <w:r w:rsidR="0077563C" w:rsidRPr="00461584">
        <w:rPr>
          <w:rFonts w:ascii="Times New Roman" w:eastAsiaTheme="minorHAnsi" w:hAnsi="Times New Roman" w:cstheme="minorBidi"/>
        </w:rPr>
        <w:t xml:space="preserve"> purpose</w:t>
      </w:r>
      <w:r w:rsidRPr="00461584">
        <w:rPr>
          <w:rFonts w:ascii="Times New Roman" w:eastAsiaTheme="minorHAnsi" w:hAnsi="Times New Roman" w:cstheme="minorBidi"/>
        </w:rPr>
        <w:t xml:space="preserve"> of addressing the dataset nomination and p</w:t>
      </w:r>
      <w:bookmarkStart w:id="0" w:name="_GoBack"/>
      <w:bookmarkEnd w:id="0"/>
      <w:r w:rsidRPr="00461584">
        <w:rPr>
          <w:rFonts w:ascii="Times New Roman" w:eastAsiaTheme="minorHAnsi" w:hAnsi="Times New Roman" w:cstheme="minorBidi"/>
        </w:rPr>
        <w:t>roducing a draft of the nomination</w:t>
      </w:r>
    </w:p>
    <w:p w14:paraId="4E994027" w14:textId="77777777" w:rsidR="00461584" w:rsidRDefault="00461584" w:rsidP="00A561D6">
      <w:pPr>
        <w:pStyle w:val="ListParagraph"/>
        <w:numPr>
          <w:ilvl w:val="0"/>
          <w:numId w:val="2"/>
        </w:numPr>
        <w:spacing w:line="276" w:lineRule="auto"/>
        <w:ind w:right="-36"/>
        <w:rPr>
          <w:rFonts w:ascii="Times New Roman" w:eastAsiaTheme="minorHAnsi" w:hAnsi="Times New Roman" w:cstheme="minorBidi"/>
        </w:rPr>
      </w:pPr>
      <w:r>
        <w:rPr>
          <w:rFonts w:ascii="Times New Roman" w:eastAsiaTheme="minorHAnsi" w:hAnsi="Times New Roman" w:cstheme="minorBidi"/>
        </w:rPr>
        <w:t>The</w:t>
      </w:r>
      <w:r w:rsidR="0003205E">
        <w:rPr>
          <w:rFonts w:ascii="Times New Roman" w:eastAsiaTheme="minorHAnsi" w:hAnsi="Times New Roman" w:cstheme="minorBidi"/>
        </w:rPr>
        <w:t xml:space="preserve"> draft of the nomination </w:t>
      </w:r>
      <w:r w:rsidR="00A561D6">
        <w:rPr>
          <w:rFonts w:ascii="Times New Roman" w:eastAsiaTheme="minorHAnsi" w:hAnsi="Times New Roman" w:cstheme="minorBidi"/>
        </w:rPr>
        <w:t>is sent to the IGC for 14 days (2 weeks) for review and comments</w:t>
      </w:r>
    </w:p>
    <w:p w14:paraId="683EEB56" w14:textId="77777777" w:rsidR="00461584" w:rsidRDefault="00A561D6" w:rsidP="00461584">
      <w:pPr>
        <w:pStyle w:val="ListParagraph"/>
        <w:numPr>
          <w:ilvl w:val="1"/>
          <w:numId w:val="2"/>
        </w:numPr>
        <w:spacing w:line="276" w:lineRule="auto"/>
        <w:ind w:right="-36"/>
        <w:rPr>
          <w:rFonts w:ascii="Times New Roman" w:eastAsiaTheme="minorHAnsi" w:hAnsi="Times New Roman" w:cstheme="minorBidi"/>
        </w:rPr>
      </w:pPr>
      <w:r>
        <w:rPr>
          <w:rFonts w:ascii="Times New Roman" w:eastAsiaTheme="minorHAnsi" w:hAnsi="Times New Roman" w:cstheme="minorBidi"/>
        </w:rPr>
        <w:t xml:space="preserve">All comments and proposed edits are sent to the </w:t>
      </w:r>
      <w:r w:rsidR="00461584">
        <w:rPr>
          <w:rFonts w:ascii="Times New Roman" w:eastAsiaTheme="minorHAnsi" w:hAnsi="Times New Roman" w:cstheme="minorBidi"/>
        </w:rPr>
        <w:t xml:space="preserve">appropriate </w:t>
      </w:r>
      <w:r>
        <w:rPr>
          <w:rFonts w:ascii="Times New Roman" w:eastAsiaTheme="minorHAnsi" w:hAnsi="Times New Roman" w:cstheme="minorBidi"/>
        </w:rPr>
        <w:t>TWG chair, or to the Authoritative Data Steward, for consideration and to update the initial draft of the nomination</w:t>
      </w:r>
    </w:p>
    <w:p w14:paraId="50D733E8" w14:textId="77777777" w:rsidR="00461584" w:rsidRDefault="00A561D6" w:rsidP="00461584">
      <w:pPr>
        <w:pStyle w:val="ListParagraph"/>
        <w:numPr>
          <w:ilvl w:val="1"/>
          <w:numId w:val="2"/>
        </w:numPr>
        <w:spacing w:line="276" w:lineRule="auto"/>
        <w:ind w:right="-36"/>
        <w:rPr>
          <w:rFonts w:ascii="Times New Roman" w:eastAsiaTheme="minorHAnsi" w:hAnsi="Times New Roman" w:cstheme="minorBidi"/>
        </w:rPr>
      </w:pPr>
      <w:r>
        <w:rPr>
          <w:rFonts w:ascii="Times New Roman" w:eastAsiaTheme="minorHAnsi" w:hAnsi="Times New Roman" w:cstheme="minorBidi"/>
        </w:rPr>
        <w:t>It is up to the Drafting Authority to determine if the edits are major and substant</w:t>
      </w:r>
      <w:r w:rsidR="00461584">
        <w:rPr>
          <w:rFonts w:ascii="Times New Roman" w:eastAsiaTheme="minorHAnsi" w:hAnsi="Times New Roman" w:cstheme="minorBidi"/>
        </w:rPr>
        <w:t>ive</w:t>
      </w:r>
      <w:r>
        <w:rPr>
          <w:rFonts w:ascii="Times New Roman" w:eastAsiaTheme="minorHAnsi" w:hAnsi="Times New Roman" w:cstheme="minorBidi"/>
        </w:rPr>
        <w:t>, or non-substantive and minor</w:t>
      </w:r>
    </w:p>
    <w:p w14:paraId="6AEF3A2C" w14:textId="77777777" w:rsidR="00461584" w:rsidRDefault="00A561D6" w:rsidP="00461584">
      <w:pPr>
        <w:pStyle w:val="ListParagraph"/>
        <w:numPr>
          <w:ilvl w:val="2"/>
          <w:numId w:val="2"/>
        </w:numPr>
        <w:spacing w:line="276" w:lineRule="auto"/>
        <w:ind w:right="-36"/>
        <w:rPr>
          <w:rFonts w:ascii="Times New Roman" w:eastAsiaTheme="minorHAnsi" w:hAnsi="Times New Roman" w:cstheme="minorBidi"/>
        </w:rPr>
      </w:pPr>
      <w:r>
        <w:rPr>
          <w:rFonts w:ascii="Times New Roman" w:eastAsiaTheme="minorHAnsi" w:hAnsi="Times New Roman" w:cstheme="minorBidi"/>
        </w:rPr>
        <w:t xml:space="preserve">If the edits are major, </w:t>
      </w:r>
      <w:r w:rsidR="00461584">
        <w:rPr>
          <w:rFonts w:ascii="Times New Roman" w:eastAsiaTheme="minorHAnsi" w:hAnsi="Times New Roman" w:cstheme="minorBidi"/>
        </w:rPr>
        <w:t>the proposed nomination is updated and moved to step 4 again</w:t>
      </w:r>
    </w:p>
    <w:p w14:paraId="7697A397" w14:textId="67214105" w:rsidR="00A561D6" w:rsidRDefault="00A561D6" w:rsidP="00461584">
      <w:pPr>
        <w:pStyle w:val="ListParagraph"/>
        <w:numPr>
          <w:ilvl w:val="2"/>
          <w:numId w:val="2"/>
        </w:numPr>
        <w:spacing w:line="276" w:lineRule="auto"/>
        <w:ind w:right="-36"/>
        <w:rPr>
          <w:rFonts w:ascii="Times New Roman" w:eastAsiaTheme="minorHAnsi" w:hAnsi="Times New Roman" w:cstheme="minorBidi"/>
        </w:rPr>
      </w:pPr>
      <w:r>
        <w:rPr>
          <w:rFonts w:ascii="Times New Roman" w:eastAsiaTheme="minorHAnsi" w:hAnsi="Times New Roman" w:cstheme="minorBidi"/>
        </w:rPr>
        <w:t xml:space="preserve">If the edits are minor, the draft </w:t>
      </w:r>
      <w:r w:rsidR="00510AE2">
        <w:rPr>
          <w:rFonts w:ascii="Times New Roman" w:eastAsiaTheme="minorHAnsi" w:hAnsi="Times New Roman" w:cstheme="minorBidi"/>
        </w:rPr>
        <w:t>will</w:t>
      </w:r>
      <w:r>
        <w:rPr>
          <w:rFonts w:ascii="Times New Roman" w:eastAsiaTheme="minorHAnsi" w:hAnsi="Times New Roman" w:cstheme="minorBidi"/>
        </w:rPr>
        <w:t xml:space="preserve"> be updated and move</w:t>
      </w:r>
      <w:r w:rsidR="00510AE2">
        <w:rPr>
          <w:rFonts w:ascii="Times New Roman" w:eastAsiaTheme="minorHAnsi" w:hAnsi="Times New Roman" w:cstheme="minorBidi"/>
        </w:rPr>
        <w:t>d</w:t>
      </w:r>
      <w:r>
        <w:rPr>
          <w:rFonts w:ascii="Times New Roman" w:eastAsiaTheme="minorHAnsi" w:hAnsi="Times New Roman" w:cstheme="minorBidi"/>
        </w:rPr>
        <w:t xml:space="preserve"> </w:t>
      </w:r>
      <w:r w:rsidR="00510AE2">
        <w:rPr>
          <w:rFonts w:ascii="Times New Roman" w:eastAsiaTheme="minorHAnsi" w:hAnsi="Times New Roman" w:cstheme="minorBidi"/>
        </w:rPr>
        <w:t>forward in the process</w:t>
      </w:r>
    </w:p>
    <w:p w14:paraId="3B218C06" w14:textId="5A1ED1CB" w:rsidR="009B147A" w:rsidRPr="001C19C0" w:rsidRDefault="009B147A" w:rsidP="009B147A">
      <w:pPr>
        <w:pStyle w:val="BodyText"/>
        <w:numPr>
          <w:ilvl w:val="0"/>
          <w:numId w:val="2"/>
        </w:numPr>
        <w:spacing w:line="276" w:lineRule="auto"/>
        <w:ind w:right="-36"/>
        <w:rPr>
          <w:rFonts w:ascii="Times New Roman" w:eastAsiaTheme="minorHAnsi" w:hAnsi="Times New Roman" w:cstheme="minorBidi"/>
          <w:sz w:val="22"/>
          <w:szCs w:val="22"/>
        </w:rPr>
      </w:pPr>
      <w:r w:rsidRPr="001C19C0">
        <w:rPr>
          <w:rFonts w:ascii="Times New Roman" w:eastAsiaTheme="minorHAnsi" w:hAnsi="Times New Roman" w:cstheme="minorBidi"/>
          <w:sz w:val="22"/>
          <w:szCs w:val="22"/>
        </w:rPr>
        <w:t>The TWG Chair will present to the IGC-EC its recommendation to approve/decline the nominated dataset as a TIM Framework Dataset</w:t>
      </w:r>
    </w:p>
    <w:p w14:paraId="201AA6BA" w14:textId="77777777" w:rsidR="009B147A" w:rsidRPr="001C19C0" w:rsidRDefault="0077563C" w:rsidP="004D2540">
      <w:pPr>
        <w:pStyle w:val="ListParagraph"/>
        <w:numPr>
          <w:ilvl w:val="0"/>
          <w:numId w:val="2"/>
        </w:numPr>
        <w:spacing w:line="276" w:lineRule="auto"/>
        <w:ind w:right="-36"/>
        <w:rPr>
          <w:rFonts w:ascii="Times New Roman" w:eastAsiaTheme="minorHAnsi" w:hAnsi="Times New Roman" w:cstheme="minorBidi"/>
        </w:rPr>
      </w:pPr>
      <w:r w:rsidRPr="001C19C0">
        <w:rPr>
          <w:rFonts w:ascii="Times New Roman" w:eastAsiaTheme="minorHAnsi" w:hAnsi="Times New Roman" w:cstheme="minorBidi"/>
        </w:rPr>
        <w:t>A notice will be sent via the Geotech Listserv that a dataset is being considered for recognition as a TIM Dataset</w:t>
      </w:r>
    </w:p>
    <w:p w14:paraId="326BD091" w14:textId="3BB1691F" w:rsidR="004D2540" w:rsidRPr="001C19C0" w:rsidRDefault="0077563C" w:rsidP="004D2540">
      <w:pPr>
        <w:pStyle w:val="ListParagraph"/>
        <w:numPr>
          <w:ilvl w:val="0"/>
          <w:numId w:val="2"/>
        </w:numPr>
        <w:spacing w:line="276" w:lineRule="auto"/>
        <w:ind w:right="-36"/>
        <w:rPr>
          <w:rFonts w:ascii="Times New Roman" w:eastAsiaTheme="minorHAnsi" w:hAnsi="Times New Roman" w:cstheme="minorBidi"/>
        </w:rPr>
      </w:pPr>
      <w:r w:rsidRPr="001C19C0">
        <w:rPr>
          <w:rFonts w:ascii="Times New Roman" w:eastAsiaTheme="minorHAnsi" w:hAnsi="Times New Roman" w:cstheme="minorBidi"/>
        </w:rPr>
        <w:t xml:space="preserve">The agenda for the next IGC-EC will include </w:t>
      </w:r>
      <w:r w:rsidR="00461584" w:rsidRPr="001C19C0">
        <w:rPr>
          <w:rFonts w:ascii="Times New Roman" w:eastAsiaTheme="minorHAnsi" w:hAnsi="Times New Roman" w:cstheme="minorBidi"/>
        </w:rPr>
        <w:t>presentation of the nomination and a request to vote for approval of the nomination</w:t>
      </w:r>
    </w:p>
    <w:p w14:paraId="6248C78B" w14:textId="77777777" w:rsidR="00803800" w:rsidRPr="001C19C0" w:rsidRDefault="0077563C" w:rsidP="00C94AF9">
      <w:pPr>
        <w:pStyle w:val="ListParagraph"/>
        <w:numPr>
          <w:ilvl w:val="1"/>
          <w:numId w:val="2"/>
        </w:numPr>
        <w:spacing w:line="276" w:lineRule="auto"/>
        <w:ind w:right="-36"/>
        <w:rPr>
          <w:rFonts w:ascii="Times New Roman" w:eastAsiaTheme="minorHAnsi" w:hAnsi="Times New Roman" w:cstheme="minorBidi"/>
        </w:rPr>
      </w:pPr>
      <w:r w:rsidRPr="001C19C0">
        <w:rPr>
          <w:rFonts w:ascii="Times New Roman" w:eastAsiaTheme="minorHAnsi" w:hAnsi="Times New Roman" w:cstheme="minorBidi"/>
        </w:rPr>
        <w:t xml:space="preserve">Datasets will not be considered for recognition unless they </w:t>
      </w:r>
      <w:r w:rsidR="00510AE2" w:rsidRPr="001C19C0">
        <w:rPr>
          <w:rFonts w:ascii="Times New Roman" w:eastAsiaTheme="minorHAnsi" w:hAnsi="Times New Roman" w:cstheme="minorBidi"/>
        </w:rPr>
        <w:t xml:space="preserve">consist of </w:t>
      </w:r>
      <w:r w:rsidRPr="001C19C0">
        <w:rPr>
          <w:rFonts w:ascii="Times New Roman" w:eastAsiaTheme="minorHAnsi" w:hAnsi="Times New Roman" w:cstheme="minorBidi"/>
        </w:rPr>
        <w:t>existing publication data</w:t>
      </w:r>
    </w:p>
    <w:p w14:paraId="6D2D1620" w14:textId="1D1BFA16" w:rsidR="004D2540" w:rsidRPr="001C19C0" w:rsidRDefault="0077563C" w:rsidP="00803800">
      <w:pPr>
        <w:pStyle w:val="ListParagraph"/>
        <w:numPr>
          <w:ilvl w:val="2"/>
          <w:numId w:val="2"/>
        </w:numPr>
        <w:spacing w:line="276" w:lineRule="auto"/>
        <w:ind w:right="-36"/>
        <w:rPr>
          <w:rFonts w:ascii="Times New Roman" w:eastAsiaTheme="minorHAnsi" w:hAnsi="Times New Roman" w:cstheme="minorBidi"/>
        </w:rPr>
      </w:pPr>
      <w:r w:rsidRPr="001C19C0">
        <w:rPr>
          <w:rFonts w:ascii="Times New Roman" w:eastAsiaTheme="minorHAnsi" w:hAnsi="Times New Roman" w:cstheme="minorBidi"/>
        </w:rPr>
        <w:t>Draft datasets will not be considered</w:t>
      </w:r>
    </w:p>
    <w:p w14:paraId="5555E89F" w14:textId="285127F6" w:rsidR="00803800" w:rsidRPr="001C19C0" w:rsidRDefault="00803800" w:rsidP="00803800">
      <w:pPr>
        <w:pStyle w:val="ListParagraph"/>
        <w:numPr>
          <w:ilvl w:val="2"/>
          <w:numId w:val="2"/>
        </w:numPr>
        <w:spacing w:line="276" w:lineRule="auto"/>
        <w:ind w:right="-36"/>
        <w:rPr>
          <w:rFonts w:ascii="Times New Roman" w:eastAsiaTheme="minorHAnsi" w:hAnsi="Times New Roman" w:cstheme="minorBidi"/>
        </w:rPr>
      </w:pPr>
      <w:r w:rsidRPr="001C19C0">
        <w:rPr>
          <w:rFonts w:ascii="Times New Roman" w:eastAsiaTheme="minorHAnsi" w:hAnsi="Times New Roman" w:cstheme="minorBidi"/>
        </w:rPr>
        <w:t xml:space="preserve">It is understood that some data sets may be partial with respect to complete state coverage </w:t>
      </w:r>
      <w:r w:rsidRPr="001C19C0">
        <w:rPr>
          <w:rFonts w:ascii="Times New Roman" w:eastAsiaTheme="minorHAnsi" w:hAnsi="Times New Roman" w:cstheme="minorBidi"/>
        </w:rPr>
        <w:lastRenderedPageBreak/>
        <w:t xml:space="preserve">(e.g. parcels).  However, </w:t>
      </w:r>
      <w:proofErr w:type="gramStart"/>
      <w:r w:rsidRPr="001C19C0">
        <w:rPr>
          <w:rFonts w:ascii="Times New Roman" w:eastAsiaTheme="minorHAnsi" w:hAnsi="Times New Roman" w:cstheme="minorBidi"/>
        </w:rPr>
        <w:t>as long as</w:t>
      </w:r>
      <w:proofErr w:type="gramEnd"/>
      <w:r w:rsidRPr="001C19C0">
        <w:rPr>
          <w:rFonts w:ascii="Times New Roman" w:eastAsiaTheme="minorHAnsi" w:hAnsi="Times New Roman" w:cstheme="minorBidi"/>
        </w:rPr>
        <w:t xml:space="preserve"> the nominated dataset meets 7.b.iii, the partial dataset can be nominated</w:t>
      </w:r>
    </w:p>
    <w:p w14:paraId="75B6C674" w14:textId="12624976" w:rsidR="004D2540" w:rsidRPr="001C19C0" w:rsidRDefault="0077563C" w:rsidP="004D2540">
      <w:pPr>
        <w:pStyle w:val="ListParagraph"/>
        <w:numPr>
          <w:ilvl w:val="1"/>
          <w:numId w:val="2"/>
        </w:numPr>
        <w:spacing w:line="276" w:lineRule="auto"/>
        <w:ind w:right="-36"/>
        <w:rPr>
          <w:rFonts w:ascii="Times New Roman" w:eastAsiaTheme="minorHAnsi" w:hAnsi="Times New Roman" w:cstheme="minorBidi"/>
        </w:rPr>
      </w:pPr>
      <w:r w:rsidRPr="001C19C0">
        <w:rPr>
          <w:rFonts w:ascii="Times New Roman" w:eastAsiaTheme="minorHAnsi" w:hAnsi="Times New Roman" w:cstheme="minorBidi"/>
        </w:rPr>
        <w:t xml:space="preserve">The </w:t>
      </w:r>
      <w:r w:rsidR="00C81E0B" w:rsidRPr="001C19C0">
        <w:rPr>
          <w:rFonts w:ascii="Times New Roman" w:eastAsiaTheme="minorHAnsi" w:hAnsi="Times New Roman" w:cstheme="minorBidi"/>
        </w:rPr>
        <w:t>c</w:t>
      </w:r>
      <w:r w:rsidRPr="001C19C0">
        <w:rPr>
          <w:rFonts w:ascii="Times New Roman" w:eastAsiaTheme="minorHAnsi" w:hAnsi="Times New Roman" w:cstheme="minorBidi"/>
        </w:rPr>
        <w:t xml:space="preserve">haracteristics of a </w:t>
      </w:r>
      <w:r w:rsidR="00C81E0B" w:rsidRPr="001C19C0">
        <w:rPr>
          <w:rFonts w:ascii="Times New Roman" w:eastAsiaTheme="minorHAnsi" w:hAnsi="Times New Roman" w:cstheme="minorBidi"/>
        </w:rPr>
        <w:t>r</w:t>
      </w:r>
      <w:r w:rsidRPr="001C19C0">
        <w:rPr>
          <w:rFonts w:ascii="Times New Roman" w:eastAsiaTheme="minorHAnsi" w:hAnsi="Times New Roman" w:cstheme="minorBidi"/>
        </w:rPr>
        <w:t xml:space="preserve">ecognized Framework </w:t>
      </w:r>
      <w:r w:rsidR="00C81E0B" w:rsidRPr="001C19C0">
        <w:rPr>
          <w:rFonts w:ascii="Times New Roman" w:eastAsiaTheme="minorHAnsi" w:hAnsi="Times New Roman" w:cstheme="minorBidi"/>
        </w:rPr>
        <w:t>d</w:t>
      </w:r>
      <w:r w:rsidRPr="001C19C0">
        <w:rPr>
          <w:rFonts w:ascii="Times New Roman" w:eastAsiaTheme="minorHAnsi" w:hAnsi="Times New Roman" w:cstheme="minorBidi"/>
        </w:rPr>
        <w:t>ataset include:</w:t>
      </w:r>
    </w:p>
    <w:p w14:paraId="7FE841A7" w14:textId="77777777" w:rsidR="00DA2B0C" w:rsidRPr="001C19C0" w:rsidRDefault="0077563C" w:rsidP="004D2540">
      <w:pPr>
        <w:pStyle w:val="ListParagraph"/>
        <w:numPr>
          <w:ilvl w:val="2"/>
          <w:numId w:val="2"/>
        </w:numPr>
        <w:spacing w:line="276" w:lineRule="auto"/>
        <w:ind w:right="-36"/>
        <w:rPr>
          <w:rFonts w:ascii="Times New Roman" w:eastAsiaTheme="minorHAnsi" w:hAnsi="Times New Roman" w:cstheme="minorBidi"/>
        </w:rPr>
      </w:pPr>
      <w:r w:rsidRPr="001C19C0">
        <w:rPr>
          <w:rFonts w:ascii="Times New Roman" w:eastAsiaTheme="minorHAnsi" w:hAnsi="Times New Roman" w:cstheme="minorBidi"/>
        </w:rPr>
        <w:t>Publish</w:t>
      </w:r>
      <w:r w:rsidR="00271F9E" w:rsidRPr="001C19C0">
        <w:rPr>
          <w:rFonts w:ascii="Times New Roman" w:eastAsiaTheme="minorHAnsi" w:hAnsi="Times New Roman" w:cstheme="minorBidi"/>
        </w:rPr>
        <w:t>ed</w:t>
      </w:r>
      <w:r w:rsidRPr="001C19C0">
        <w:rPr>
          <w:rFonts w:ascii="Times New Roman" w:eastAsiaTheme="minorHAnsi" w:hAnsi="Times New Roman" w:cstheme="minorBidi"/>
        </w:rPr>
        <w:t xml:space="preserve"> by a Trusted Source</w:t>
      </w:r>
    </w:p>
    <w:p w14:paraId="0C2BAB11" w14:textId="77777777" w:rsidR="00DA2B0C" w:rsidRPr="001C19C0" w:rsidRDefault="00271F9E" w:rsidP="004D2540">
      <w:pPr>
        <w:pStyle w:val="ListParagraph"/>
        <w:numPr>
          <w:ilvl w:val="2"/>
          <w:numId w:val="2"/>
        </w:numPr>
        <w:tabs>
          <w:tab w:val="left" w:pos="1200"/>
        </w:tabs>
        <w:spacing w:line="276" w:lineRule="auto"/>
        <w:ind w:right="-36"/>
        <w:rPr>
          <w:rFonts w:ascii="Times New Roman" w:eastAsiaTheme="minorHAnsi" w:hAnsi="Times New Roman" w:cstheme="minorBidi"/>
        </w:rPr>
      </w:pPr>
      <w:r w:rsidRPr="001C19C0">
        <w:rPr>
          <w:rFonts w:ascii="Times New Roman" w:eastAsiaTheme="minorHAnsi" w:hAnsi="Times New Roman" w:cstheme="minorBidi"/>
        </w:rPr>
        <w:t>Resolution</w:t>
      </w:r>
      <w:r w:rsidR="0077563C" w:rsidRPr="001C19C0">
        <w:rPr>
          <w:rFonts w:ascii="Times New Roman" w:eastAsiaTheme="minorHAnsi" w:hAnsi="Times New Roman" w:cstheme="minorBidi"/>
        </w:rPr>
        <w:t xml:space="preserve"> at 1:24000 scale or more refined</w:t>
      </w:r>
    </w:p>
    <w:p w14:paraId="024E6759" w14:textId="77777777" w:rsidR="00DA2B0C" w:rsidRPr="001C19C0" w:rsidRDefault="00271F9E" w:rsidP="004D2540">
      <w:pPr>
        <w:pStyle w:val="ListParagraph"/>
        <w:numPr>
          <w:ilvl w:val="2"/>
          <w:numId w:val="2"/>
        </w:numPr>
        <w:tabs>
          <w:tab w:val="left" w:pos="1200"/>
        </w:tabs>
        <w:spacing w:line="276" w:lineRule="auto"/>
        <w:ind w:right="-36"/>
        <w:rPr>
          <w:rFonts w:ascii="Times New Roman" w:eastAsiaTheme="minorHAnsi" w:hAnsi="Times New Roman" w:cstheme="minorBidi"/>
        </w:rPr>
      </w:pPr>
      <w:r w:rsidRPr="001C19C0">
        <w:rPr>
          <w:rFonts w:ascii="Times New Roman" w:eastAsiaTheme="minorHAnsi" w:hAnsi="Times New Roman" w:cstheme="minorBidi"/>
        </w:rPr>
        <w:t xml:space="preserve">Having </w:t>
      </w:r>
      <w:r w:rsidR="0077563C" w:rsidRPr="001C19C0">
        <w:rPr>
          <w:rFonts w:ascii="Times New Roman" w:eastAsiaTheme="minorHAnsi" w:hAnsi="Times New Roman" w:cstheme="minorBidi"/>
        </w:rPr>
        <w:t>statewide coverage or a methodology for developing statewide coverage</w:t>
      </w:r>
    </w:p>
    <w:p w14:paraId="14DF6F57" w14:textId="5A03CE44" w:rsidR="00DA2B0C" w:rsidRPr="001C19C0" w:rsidRDefault="0077563C" w:rsidP="004D2540">
      <w:pPr>
        <w:pStyle w:val="ListParagraph"/>
        <w:numPr>
          <w:ilvl w:val="2"/>
          <w:numId w:val="2"/>
        </w:numPr>
        <w:tabs>
          <w:tab w:val="left" w:pos="1200"/>
        </w:tabs>
        <w:spacing w:line="276" w:lineRule="auto"/>
        <w:ind w:right="-36"/>
        <w:rPr>
          <w:rFonts w:ascii="Times New Roman" w:eastAsiaTheme="minorHAnsi" w:hAnsi="Times New Roman" w:cstheme="minorBidi"/>
        </w:rPr>
      </w:pPr>
      <w:r w:rsidRPr="001C19C0">
        <w:rPr>
          <w:rFonts w:ascii="Times New Roman" w:eastAsiaTheme="minorHAnsi" w:hAnsi="Times New Roman" w:cstheme="minorBidi"/>
        </w:rPr>
        <w:t>Documentation of authoritative source(s) and each source’s legal authority</w:t>
      </w:r>
    </w:p>
    <w:p w14:paraId="5F0CDCB8" w14:textId="3C18919E" w:rsidR="002515A7" w:rsidRPr="001C19C0" w:rsidRDefault="002515A7" w:rsidP="002515A7">
      <w:pPr>
        <w:pStyle w:val="ListParagraph"/>
        <w:numPr>
          <w:ilvl w:val="3"/>
          <w:numId w:val="2"/>
        </w:numPr>
        <w:tabs>
          <w:tab w:val="left" w:pos="1200"/>
        </w:tabs>
        <w:spacing w:line="276" w:lineRule="auto"/>
        <w:ind w:right="-36"/>
        <w:rPr>
          <w:rFonts w:ascii="Times New Roman" w:eastAsiaTheme="minorHAnsi" w:hAnsi="Times New Roman" w:cstheme="minorBidi"/>
        </w:rPr>
      </w:pPr>
      <w:r w:rsidRPr="001C19C0">
        <w:rPr>
          <w:rFonts w:ascii="Times New Roman" w:eastAsiaTheme="minorHAnsi" w:hAnsi="Times New Roman" w:cstheme="minorBidi"/>
        </w:rPr>
        <w:t>A TIM Framework dataset may be a compilation of authoritative data from multiple authoritative sources, for example from different geographic regions that will be compiled into one trusted dataset</w:t>
      </w:r>
    </w:p>
    <w:p w14:paraId="5ABF2450" w14:textId="77777777" w:rsidR="00DA2B0C" w:rsidRPr="001C19C0" w:rsidRDefault="0077563C" w:rsidP="004D2540">
      <w:pPr>
        <w:pStyle w:val="ListParagraph"/>
        <w:numPr>
          <w:ilvl w:val="2"/>
          <w:numId w:val="2"/>
        </w:numPr>
        <w:tabs>
          <w:tab w:val="left" w:pos="1200"/>
          <w:tab w:val="left" w:pos="1200"/>
        </w:tabs>
        <w:spacing w:line="276" w:lineRule="auto"/>
        <w:ind w:right="-36"/>
        <w:rPr>
          <w:rFonts w:ascii="Times New Roman" w:eastAsiaTheme="minorHAnsi" w:hAnsi="Times New Roman" w:cstheme="minorBidi"/>
        </w:rPr>
      </w:pPr>
      <w:r w:rsidRPr="001C19C0">
        <w:rPr>
          <w:rFonts w:ascii="Times New Roman" w:eastAsiaTheme="minorHAnsi" w:hAnsi="Times New Roman" w:cstheme="minorBidi"/>
        </w:rPr>
        <w:t xml:space="preserve">Publication Data must be in an approved and defined data exchange format. For approved standards, see ITA Policy </w:t>
      </w:r>
      <w:hyperlink r:id="rId7">
        <w:r w:rsidRPr="001C19C0">
          <w:rPr>
            <w:rFonts w:ascii="Times New Roman" w:eastAsiaTheme="minorHAnsi" w:hAnsi="Times New Roman" w:cstheme="minorBidi"/>
          </w:rPr>
          <w:t xml:space="preserve">P5030 </w:t>
        </w:r>
      </w:hyperlink>
      <w:r w:rsidRPr="001C19C0">
        <w:rPr>
          <w:rFonts w:ascii="Times New Roman" w:eastAsiaTheme="minorHAnsi" w:hAnsi="Times New Roman" w:cstheme="minorBidi"/>
        </w:rPr>
        <w:t>(Framework Standards Development)</w:t>
      </w:r>
    </w:p>
    <w:p w14:paraId="71E0FB62" w14:textId="77777777" w:rsidR="00DA2B0C" w:rsidRPr="001C19C0" w:rsidRDefault="00271F9E" w:rsidP="004D2540">
      <w:pPr>
        <w:pStyle w:val="ListParagraph"/>
        <w:numPr>
          <w:ilvl w:val="2"/>
          <w:numId w:val="2"/>
        </w:numPr>
        <w:tabs>
          <w:tab w:val="left" w:pos="1200"/>
          <w:tab w:val="left" w:pos="1200"/>
        </w:tabs>
        <w:spacing w:line="276" w:lineRule="auto"/>
        <w:ind w:right="-36"/>
      </w:pPr>
      <w:r w:rsidRPr="001C19C0">
        <w:rPr>
          <w:rFonts w:ascii="Times New Roman" w:eastAsiaTheme="minorHAnsi" w:hAnsi="Times New Roman" w:cstheme="minorBidi"/>
        </w:rPr>
        <w:t xml:space="preserve">An existing </w:t>
      </w:r>
      <w:r w:rsidR="0077563C" w:rsidRPr="001C19C0">
        <w:rPr>
          <w:rFonts w:ascii="Times New Roman" w:eastAsiaTheme="minorHAnsi" w:hAnsi="Times New Roman" w:cstheme="minorBidi"/>
        </w:rPr>
        <w:t>tie or input into a nationally published dataset</w:t>
      </w:r>
      <w:r w:rsidRPr="001C19C0">
        <w:rPr>
          <w:rFonts w:ascii="Times New Roman" w:eastAsiaTheme="minorHAnsi" w:hAnsi="Times New Roman" w:cstheme="minorBidi"/>
        </w:rPr>
        <w:t xml:space="preserve"> (preferred)</w:t>
      </w:r>
    </w:p>
    <w:p w14:paraId="5F18D523" w14:textId="77777777" w:rsidR="00DA2B0C" w:rsidRPr="001C19C0" w:rsidRDefault="0077563C" w:rsidP="004D2540">
      <w:pPr>
        <w:pStyle w:val="ListParagraph"/>
        <w:numPr>
          <w:ilvl w:val="2"/>
          <w:numId w:val="2"/>
        </w:numPr>
        <w:tabs>
          <w:tab w:val="left" w:pos="1200"/>
          <w:tab w:val="left" w:pos="1200"/>
        </w:tabs>
        <w:spacing w:line="276" w:lineRule="auto"/>
        <w:ind w:right="-36"/>
        <w:rPr>
          <w:rFonts w:ascii="Times New Roman" w:eastAsiaTheme="minorHAnsi" w:hAnsi="Times New Roman" w:cstheme="minorBidi"/>
        </w:rPr>
      </w:pPr>
      <w:r w:rsidRPr="001C19C0">
        <w:rPr>
          <w:rFonts w:ascii="Times New Roman" w:eastAsiaTheme="minorHAnsi" w:hAnsi="Times New Roman" w:cstheme="minorBidi"/>
        </w:rPr>
        <w:t>Complete metadata including all process steps and references to agreements that result in the Publication Data</w:t>
      </w:r>
    </w:p>
    <w:p w14:paraId="56B58757" w14:textId="243D9E4B" w:rsidR="0077563C" w:rsidRPr="001C19C0" w:rsidRDefault="0077563C" w:rsidP="004D2540">
      <w:pPr>
        <w:pStyle w:val="ListParagraph"/>
        <w:numPr>
          <w:ilvl w:val="2"/>
          <w:numId w:val="2"/>
        </w:numPr>
        <w:tabs>
          <w:tab w:val="left" w:pos="1200"/>
          <w:tab w:val="left" w:pos="1200"/>
        </w:tabs>
        <w:spacing w:line="276" w:lineRule="auto"/>
        <w:ind w:right="-36"/>
        <w:rPr>
          <w:rFonts w:ascii="Times New Roman" w:eastAsiaTheme="minorHAnsi" w:hAnsi="Times New Roman" w:cstheme="minorBidi"/>
        </w:rPr>
      </w:pPr>
      <w:r w:rsidRPr="001C19C0">
        <w:rPr>
          <w:rFonts w:ascii="Times New Roman" w:eastAsiaTheme="minorHAnsi" w:hAnsi="Times New Roman" w:cstheme="minorBidi"/>
        </w:rPr>
        <w:t>Detailed maintenance /update schedule for keeping the publication data as current as possible</w:t>
      </w:r>
      <w:r w:rsidR="00271F9E" w:rsidRPr="001C19C0">
        <w:rPr>
          <w:rFonts w:ascii="Times New Roman" w:eastAsiaTheme="minorHAnsi" w:hAnsi="Times New Roman" w:cstheme="minorBidi"/>
        </w:rPr>
        <w:t xml:space="preserve"> with a m</w:t>
      </w:r>
      <w:r w:rsidRPr="001C19C0">
        <w:rPr>
          <w:rFonts w:ascii="Times New Roman" w:eastAsiaTheme="minorHAnsi" w:hAnsi="Times New Roman" w:cstheme="minorBidi"/>
        </w:rPr>
        <w:t>inimum update</w:t>
      </w:r>
      <w:r w:rsidR="00271F9E" w:rsidRPr="001C19C0">
        <w:rPr>
          <w:rFonts w:ascii="Times New Roman" w:eastAsiaTheme="minorHAnsi" w:hAnsi="Times New Roman" w:cstheme="minorBidi"/>
        </w:rPr>
        <w:t xml:space="preserve"> cycle of </w:t>
      </w:r>
      <w:r w:rsidRPr="001C19C0">
        <w:rPr>
          <w:rFonts w:ascii="Times New Roman" w:eastAsiaTheme="minorHAnsi" w:hAnsi="Times New Roman" w:cstheme="minorBidi"/>
        </w:rPr>
        <w:t>annually</w:t>
      </w:r>
    </w:p>
    <w:p w14:paraId="6AEE60D6" w14:textId="596A1A0F" w:rsidR="00C81E0B" w:rsidRPr="001C19C0" w:rsidRDefault="00C81E0B" w:rsidP="00C81E0B">
      <w:pPr>
        <w:pStyle w:val="ListParagraph"/>
        <w:numPr>
          <w:ilvl w:val="0"/>
          <w:numId w:val="2"/>
        </w:numPr>
        <w:tabs>
          <w:tab w:val="left" w:pos="1200"/>
          <w:tab w:val="left" w:pos="1200"/>
        </w:tabs>
        <w:spacing w:line="276" w:lineRule="auto"/>
        <w:ind w:right="-36"/>
        <w:rPr>
          <w:rFonts w:ascii="Times New Roman" w:eastAsiaTheme="minorHAnsi" w:hAnsi="Times New Roman" w:cstheme="minorBidi"/>
        </w:rPr>
      </w:pPr>
      <w:r w:rsidRPr="001C19C0">
        <w:rPr>
          <w:rFonts w:ascii="Times New Roman" w:eastAsiaTheme="minorHAnsi" w:hAnsi="Times New Roman" w:cstheme="minorBidi"/>
        </w:rPr>
        <w:t xml:space="preserve">The IGC-EC will discuss </w:t>
      </w:r>
      <w:r w:rsidR="001F19E0" w:rsidRPr="001C19C0">
        <w:rPr>
          <w:rFonts w:ascii="Times New Roman" w:eastAsiaTheme="minorHAnsi" w:hAnsi="Times New Roman" w:cstheme="minorBidi"/>
        </w:rPr>
        <w:t xml:space="preserve">the nomination </w:t>
      </w:r>
      <w:r w:rsidRPr="001C19C0">
        <w:rPr>
          <w:rFonts w:ascii="Times New Roman" w:eastAsiaTheme="minorHAnsi" w:hAnsi="Times New Roman" w:cstheme="minorBidi"/>
        </w:rPr>
        <w:t xml:space="preserve">and vote </w:t>
      </w:r>
      <w:r w:rsidR="001F19E0" w:rsidRPr="001C19C0">
        <w:rPr>
          <w:rFonts w:ascii="Times New Roman" w:eastAsiaTheme="minorHAnsi" w:hAnsi="Times New Roman" w:cstheme="minorBidi"/>
        </w:rPr>
        <w:t>to approve/reject the nomination</w:t>
      </w:r>
    </w:p>
    <w:p w14:paraId="29163DC8" w14:textId="7AD8ACB5" w:rsidR="00C81E0B" w:rsidRPr="001C19C0" w:rsidRDefault="00C81E0B" w:rsidP="00C81E0B">
      <w:pPr>
        <w:pStyle w:val="ListParagraph"/>
        <w:numPr>
          <w:ilvl w:val="1"/>
          <w:numId w:val="2"/>
        </w:numPr>
        <w:tabs>
          <w:tab w:val="left" w:pos="1200"/>
          <w:tab w:val="left" w:pos="1200"/>
        </w:tabs>
        <w:spacing w:line="276" w:lineRule="auto"/>
        <w:ind w:right="-36"/>
        <w:rPr>
          <w:rFonts w:ascii="Times New Roman" w:eastAsiaTheme="minorHAnsi" w:hAnsi="Times New Roman" w:cstheme="minorBidi"/>
        </w:rPr>
      </w:pPr>
      <w:r w:rsidRPr="001C19C0">
        <w:rPr>
          <w:rFonts w:ascii="Times New Roman" w:eastAsiaTheme="minorHAnsi" w:hAnsi="Times New Roman" w:cstheme="minorBidi"/>
        </w:rPr>
        <w:t xml:space="preserve">If the nomination is approved, the dataset </w:t>
      </w:r>
      <w:r w:rsidR="00E65515" w:rsidRPr="001C19C0">
        <w:rPr>
          <w:rFonts w:ascii="Times New Roman" w:eastAsiaTheme="minorHAnsi" w:hAnsi="Times New Roman" w:cstheme="minorBidi"/>
        </w:rPr>
        <w:t xml:space="preserve">nomination </w:t>
      </w:r>
      <w:r w:rsidRPr="001C19C0">
        <w:rPr>
          <w:rFonts w:ascii="Times New Roman" w:eastAsiaTheme="minorHAnsi" w:hAnsi="Times New Roman" w:cstheme="minorBidi"/>
        </w:rPr>
        <w:t>is published to the appropriate GIS site(s) and</w:t>
      </w:r>
      <w:r w:rsidR="00355FCB" w:rsidRPr="001C19C0">
        <w:rPr>
          <w:rFonts w:ascii="Times New Roman" w:eastAsiaTheme="minorHAnsi" w:hAnsi="Times New Roman" w:cstheme="minorBidi"/>
        </w:rPr>
        <w:t xml:space="preserve"> the data is confirmed</w:t>
      </w:r>
      <w:r w:rsidRPr="001C19C0">
        <w:rPr>
          <w:rFonts w:ascii="Times New Roman" w:eastAsiaTheme="minorHAnsi" w:hAnsi="Times New Roman" w:cstheme="minorBidi"/>
        </w:rPr>
        <w:t xml:space="preserve"> as an authoritative TIM layer</w:t>
      </w:r>
    </w:p>
    <w:p w14:paraId="2B5AEDA0" w14:textId="062EA08F" w:rsidR="003C5F5F" w:rsidRPr="001C19C0" w:rsidRDefault="003C5F5F" w:rsidP="003C5F5F">
      <w:pPr>
        <w:pStyle w:val="ListParagraph"/>
        <w:numPr>
          <w:ilvl w:val="2"/>
          <w:numId w:val="2"/>
        </w:numPr>
        <w:tabs>
          <w:tab w:val="left" w:pos="1200"/>
          <w:tab w:val="left" w:pos="1200"/>
        </w:tabs>
        <w:spacing w:line="276" w:lineRule="auto"/>
        <w:ind w:right="-36"/>
        <w:rPr>
          <w:rFonts w:ascii="Times New Roman" w:eastAsiaTheme="minorHAnsi" w:hAnsi="Times New Roman" w:cstheme="minorBidi"/>
        </w:rPr>
      </w:pPr>
      <w:r w:rsidRPr="001C19C0">
        <w:rPr>
          <w:rFonts w:ascii="Times New Roman" w:eastAsiaTheme="minorHAnsi" w:hAnsi="Times New Roman" w:cstheme="minorBidi"/>
        </w:rPr>
        <w:t>The approved nomination document will be posted to gis.idaho.gov</w:t>
      </w:r>
    </w:p>
    <w:p w14:paraId="45D23536" w14:textId="476AE9AD" w:rsidR="003C5F5F" w:rsidRPr="001C19C0" w:rsidRDefault="003C5F5F" w:rsidP="003C5F5F">
      <w:pPr>
        <w:pStyle w:val="ListParagraph"/>
        <w:numPr>
          <w:ilvl w:val="2"/>
          <w:numId w:val="2"/>
        </w:numPr>
        <w:tabs>
          <w:tab w:val="left" w:pos="1200"/>
          <w:tab w:val="left" w:pos="1200"/>
        </w:tabs>
        <w:spacing w:line="276" w:lineRule="auto"/>
        <w:ind w:right="-36"/>
        <w:rPr>
          <w:rFonts w:ascii="Times New Roman" w:eastAsiaTheme="minorHAnsi" w:hAnsi="Times New Roman" w:cstheme="minorBidi"/>
        </w:rPr>
      </w:pPr>
      <w:r w:rsidRPr="001C19C0">
        <w:rPr>
          <w:rFonts w:ascii="Times New Roman" w:eastAsiaTheme="minorHAnsi" w:hAnsi="Times New Roman" w:cstheme="minorBidi"/>
        </w:rPr>
        <w:t xml:space="preserve">Links to the approved dataset will be </w:t>
      </w:r>
      <w:r w:rsidR="00E65515" w:rsidRPr="001C19C0">
        <w:rPr>
          <w:rFonts w:ascii="Times New Roman" w:eastAsiaTheme="minorHAnsi" w:hAnsi="Times New Roman" w:cstheme="minorBidi"/>
        </w:rPr>
        <w:t>placed on</w:t>
      </w:r>
      <w:r w:rsidR="00F409E1" w:rsidRPr="001C19C0">
        <w:rPr>
          <w:rFonts w:ascii="Times New Roman" w:eastAsiaTheme="minorHAnsi" w:hAnsi="Times New Roman" w:cstheme="minorBidi"/>
        </w:rPr>
        <w:t xml:space="preserve"> all other relevant state GIS sites in existence at the time of approval</w:t>
      </w:r>
      <w:r w:rsidR="0015639F" w:rsidRPr="001C19C0">
        <w:rPr>
          <w:rFonts w:ascii="Times New Roman" w:eastAsiaTheme="minorHAnsi" w:hAnsi="Times New Roman" w:cstheme="minorBidi"/>
        </w:rPr>
        <w:t xml:space="preserve"> (e.g.InsideIdaho</w:t>
      </w:r>
      <w:r w:rsidR="00DE2266" w:rsidRPr="001C19C0">
        <w:rPr>
          <w:rFonts w:ascii="Times New Roman" w:eastAsiaTheme="minorHAnsi" w:hAnsi="Times New Roman" w:cstheme="minorBidi"/>
        </w:rPr>
        <w:t>.org</w:t>
      </w:r>
      <w:r w:rsidR="0015639F" w:rsidRPr="001C19C0">
        <w:rPr>
          <w:rFonts w:ascii="Times New Roman" w:eastAsiaTheme="minorHAnsi" w:hAnsi="Times New Roman" w:cstheme="minorBidi"/>
        </w:rPr>
        <w:t xml:space="preserve"> or other central repository site, data.idaho.gov, others)</w:t>
      </w:r>
    </w:p>
    <w:p w14:paraId="7A912CFC" w14:textId="388DE167" w:rsidR="00F409E1" w:rsidRPr="001C19C0" w:rsidRDefault="00F409E1" w:rsidP="003C5F5F">
      <w:pPr>
        <w:pStyle w:val="ListParagraph"/>
        <w:numPr>
          <w:ilvl w:val="2"/>
          <w:numId w:val="2"/>
        </w:numPr>
        <w:tabs>
          <w:tab w:val="left" w:pos="1200"/>
          <w:tab w:val="left" w:pos="1200"/>
        </w:tabs>
        <w:spacing w:line="276" w:lineRule="auto"/>
        <w:ind w:right="-36"/>
        <w:rPr>
          <w:rFonts w:ascii="Times New Roman" w:eastAsiaTheme="minorHAnsi" w:hAnsi="Times New Roman" w:cstheme="minorBidi"/>
        </w:rPr>
      </w:pPr>
      <w:r w:rsidRPr="001C19C0">
        <w:rPr>
          <w:rFonts w:ascii="Times New Roman" w:eastAsiaTheme="minorHAnsi" w:hAnsi="Times New Roman" w:cstheme="minorBidi"/>
        </w:rPr>
        <w:t>Notifications will be sent to the appropriate listserv(s) to announce the approval of the nomination and to confirm the dataset as a TIM layer</w:t>
      </w:r>
    </w:p>
    <w:p w14:paraId="360D0AC1" w14:textId="071B3E06" w:rsidR="00E65515" w:rsidRPr="001C19C0" w:rsidRDefault="00E65515" w:rsidP="003C5F5F">
      <w:pPr>
        <w:pStyle w:val="ListParagraph"/>
        <w:numPr>
          <w:ilvl w:val="2"/>
          <w:numId w:val="2"/>
        </w:numPr>
        <w:tabs>
          <w:tab w:val="left" w:pos="1200"/>
          <w:tab w:val="left" w:pos="1200"/>
        </w:tabs>
        <w:spacing w:line="276" w:lineRule="auto"/>
        <w:ind w:right="-36"/>
        <w:rPr>
          <w:rFonts w:ascii="Times New Roman" w:eastAsiaTheme="minorHAnsi" w:hAnsi="Times New Roman" w:cstheme="minorBidi"/>
        </w:rPr>
      </w:pPr>
      <w:r w:rsidRPr="001C19C0">
        <w:rPr>
          <w:rFonts w:ascii="Times New Roman" w:eastAsiaTheme="minorHAnsi" w:hAnsi="Times New Roman" w:cstheme="minorBidi"/>
        </w:rPr>
        <w:t>If the dataset is considered public data, it will be added to the appropriate Open Data site, if it does not already exist there.  Designation as “authoritative” should be indicated</w:t>
      </w:r>
    </w:p>
    <w:p w14:paraId="26F47C54" w14:textId="4F015A52" w:rsidR="00C81E0B" w:rsidRPr="001C19C0" w:rsidRDefault="00C81E0B" w:rsidP="00C81E0B">
      <w:pPr>
        <w:pStyle w:val="ListParagraph"/>
        <w:numPr>
          <w:ilvl w:val="1"/>
          <w:numId w:val="2"/>
        </w:numPr>
        <w:tabs>
          <w:tab w:val="left" w:pos="1200"/>
          <w:tab w:val="left" w:pos="1200"/>
        </w:tabs>
        <w:spacing w:line="276" w:lineRule="auto"/>
        <w:ind w:right="-36"/>
        <w:rPr>
          <w:rFonts w:ascii="Times New Roman" w:eastAsiaTheme="minorHAnsi" w:hAnsi="Times New Roman" w:cstheme="minorBidi"/>
        </w:rPr>
      </w:pPr>
      <w:r w:rsidRPr="001C19C0">
        <w:rPr>
          <w:rFonts w:ascii="Times New Roman" w:eastAsiaTheme="minorHAnsi" w:hAnsi="Times New Roman" w:cstheme="minorBidi"/>
        </w:rPr>
        <w:t>If the nomination is rejected, the IGC-EC will document the vote result and the reason(s) for the rejection in the meeting minutes.  The nominating authority will be notified (if not a member of the IGC-EC) of the outcome and the reasons</w:t>
      </w:r>
    </w:p>
    <w:p w14:paraId="01F2D0E9" w14:textId="28C544D8" w:rsidR="00C81E0B" w:rsidRPr="001C19C0" w:rsidRDefault="00C81E0B" w:rsidP="00C81E0B">
      <w:pPr>
        <w:pStyle w:val="ListParagraph"/>
        <w:numPr>
          <w:ilvl w:val="2"/>
          <w:numId w:val="2"/>
        </w:numPr>
        <w:tabs>
          <w:tab w:val="left" w:pos="1200"/>
          <w:tab w:val="left" w:pos="1200"/>
        </w:tabs>
        <w:spacing w:line="276" w:lineRule="auto"/>
        <w:ind w:right="-36"/>
        <w:rPr>
          <w:rFonts w:ascii="Times New Roman" w:eastAsiaTheme="minorHAnsi" w:hAnsi="Times New Roman" w:cstheme="minorBidi"/>
        </w:rPr>
      </w:pPr>
      <w:r w:rsidRPr="001C19C0">
        <w:rPr>
          <w:rFonts w:ascii="Times New Roman" w:eastAsiaTheme="minorHAnsi" w:hAnsi="Times New Roman" w:cstheme="minorBidi"/>
        </w:rPr>
        <w:t xml:space="preserve">If the reason(s) for rejection will </w:t>
      </w:r>
      <w:r w:rsidR="00F409E1" w:rsidRPr="001C19C0">
        <w:rPr>
          <w:rFonts w:ascii="Times New Roman" w:eastAsiaTheme="minorHAnsi" w:hAnsi="Times New Roman" w:cstheme="minorBidi"/>
        </w:rPr>
        <w:t>require</w:t>
      </w:r>
      <w:r w:rsidRPr="001C19C0">
        <w:rPr>
          <w:rFonts w:ascii="Times New Roman" w:eastAsiaTheme="minorHAnsi" w:hAnsi="Times New Roman" w:cstheme="minorBidi"/>
        </w:rPr>
        <w:t xml:space="preserve"> major edits to the nomination draft, the nomination is sent back to the appropriate location in step 3.</w:t>
      </w:r>
    </w:p>
    <w:p w14:paraId="6A23CF8D" w14:textId="56BC5004" w:rsidR="00C81E0B" w:rsidRPr="001C19C0" w:rsidRDefault="00C81E0B" w:rsidP="00C81E0B">
      <w:pPr>
        <w:pStyle w:val="ListParagraph"/>
        <w:numPr>
          <w:ilvl w:val="2"/>
          <w:numId w:val="2"/>
        </w:numPr>
        <w:tabs>
          <w:tab w:val="left" w:pos="1200"/>
          <w:tab w:val="left" w:pos="1200"/>
        </w:tabs>
        <w:spacing w:line="276" w:lineRule="auto"/>
        <w:ind w:right="-36"/>
        <w:rPr>
          <w:rFonts w:ascii="Times New Roman" w:eastAsiaTheme="minorHAnsi" w:hAnsi="Times New Roman" w:cstheme="minorBidi"/>
        </w:rPr>
      </w:pPr>
      <w:r w:rsidRPr="001C19C0">
        <w:rPr>
          <w:rFonts w:ascii="Times New Roman" w:eastAsiaTheme="minorHAnsi" w:hAnsi="Times New Roman" w:cstheme="minorBidi"/>
        </w:rPr>
        <w:t>If the rejection is based on a substantive deficiency in the dataset not meeting the appropriate requirements listed in step 7, the dataset can be sent back for work and</w:t>
      </w:r>
      <w:r w:rsidR="00E65515" w:rsidRPr="001C19C0">
        <w:rPr>
          <w:rFonts w:ascii="Times New Roman" w:eastAsiaTheme="minorHAnsi" w:hAnsi="Times New Roman" w:cstheme="minorBidi"/>
        </w:rPr>
        <w:t>,</w:t>
      </w:r>
      <w:r w:rsidRPr="001C19C0">
        <w:rPr>
          <w:rFonts w:ascii="Times New Roman" w:eastAsiaTheme="minorHAnsi" w:hAnsi="Times New Roman" w:cstheme="minorBidi"/>
        </w:rPr>
        <w:t xml:space="preserve"> if it is updated to comply, the </w:t>
      </w:r>
      <w:r w:rsidR="00E878B0" w:rsidRPr="001C19C0">
        <w:rPr>
          <w:rFonts w:ascii="Times New Roman" w:eastAsiaTheme="minorHAnsi" w:hAnsi="Times New Roman" w:cstheme="minorBidi"/>
        </w:rPr>
        <w:t>nomination will be moved to Step 3 for update</w:t>
      </w:r>
      <w:r w:rsidR="0015639F" w:rsidRPr="001C19C0">
        <w:rPr>
          <w:rFonts w:ascii="Times New Roman" w:eastAsiaTheme="minorHAnsi" w:hAnsi="Times New Roman" w:cstheme="minorBidi"/>
        </w:rPr>
        <w:t xml:space="preserve"> and to continue through review and approval process</w:t>
      </w:r>
      <w:r w:rsidR="00E878B0" w:rsidRPr="001C19C0">
        <w:rPr>
          <w:rFonts w:ascii="Times New Roman" w:eastAsiaTheme="minorHAnsi" w:hAnsi="Times New Roman" w:cstheme="minorBidi"/>
        </w:rPr>
        <w:t>.</w:t>
      </w:r>
    </w:p>
    <w:p w14:paraId="1EAE4B41" w14:textId="224FB467" w:rsidR="00E878B0" w:rsidRPr="001C19C0" w:rsidRDefault="00E878B0" w:rsidP="00C81E0B">
      <w:pPr>
        <w:pStyle w:val="ListParagraph"/>
        <w:numPr>
          <w:ilvl w:val="2"/>
          <w:numId w:val="2"/>
        </w:numPr>
        <w:tabs>
          <w:tab w:val="left" w:pos="1200"/>
          <w:tab w:val="left" w:pos="1200"/>
        </w:tabs>
        <w:spacing w:line="276" w:lineRule="auto"/>
        <w:ind w:right="-36"/>
        <w:rPr>
          <w:rFonts w:ascii="Times New Roman" w:eastAsiaTheme="minorHAnsi" w:hAnsi="Times New Roman" w:cstheme="minorBidi"/>
        </w:rPr>
      </w:pPr>
      <w:r w:rsidRPr="001C19C0">
        <w:rPr>
          <w:rFonts w:ascii="Times New Roman" w:eastAsiaTheme="minorHAnsi" w:hAnsi="Times New Roman" w:cstheme="minorBidi"/>
        </w:rPr>
        <w:t>If the dataset is rejected because it is not the correct dataset for that Theme or a different dataset is needed, a new nomination will need to be generated starting at step 1</w:t>
      </w:r>
    </w:p>
    <w:p w14:paraId="104426C2" w14:textId="0D6B0438" w:rsidR="00C81E0B" w:rsidRDefault="00C81E0B" w:rsidP="00C81E0B">
      <w:pPr>
        <w:tabs>
          <w:tab w:val="left" w:pos="1200"/>
          <w:tab w:val="left" w:pos="1200"/>
        </w:tabs>
        <w:ind w:right="-36"/>
      </w:pPr>
    </w:p>
    <w:p w14:paraId="5D8D9A21" w14:textId="2CF0649D" w:rsidR="00530EC0" w:rsidRDefault="00530EC0" w:rsidP="00C81E0B">
      <w:pPr>
        <w:tabs>
          <w:tab w:val="left" w:pos="1200"/>
          <w:tab w:val="left" w:pos="1200"/>
        </w:tabs>
        <w:ind w:right="-36"/>
      </w:pPr>
      <w:r>
        <w:t>Process diagram shown below:</w:t>
      </w:r>
    </w:p>
    <w:p w14:paraId="7DAE66A1" w14:textId="75C2F711" w:rsidR="00C81E0B" w:rsidRDefault="00C81E0B" w:rsidP="00C81E0B">
      <w:pPr>
        <w:tabs>
          <w:tab w:val="left" w:pos="1200"/>
          <w:tab w:val="left" w:pos="1200"/>
        </w:tabs>
        <w:ind w:right="-36"/>
      </w:pPr>
    </w:p>
    <w:p w14:paraId="7F3170F4" w14:textId="03280AE9" w:rsidR="00C94AF9" w:rsidRDefault="00DE2266" w:rsidP="00DE2266">
      <w:pPr>
        <w:tabs>
          <w:tab w:val="left" w:pos="1200"/>
        </w:tabs>
        <w:ind w:right="-36"/>
        <w:jc w:val="center"/>
      </w:pPr>
      <w:r>
        <w:object w:dxaOrig="10945" w:dyaOrig="14821" w14:anchorId="73E1AD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5pt;height:655.5pt" o:ole="">
            <v:imagedata r:id="rId8" o:title=""/>
          </v:shape>
          <o:OLEObject Type="Embed" ProgID="Visio.Drawing.15" ShapeID="_x0000_i1025" DrawAspect="Content" ObjectID="_1666693883" r:id="rId9"/>
        </w:object>
      </w:r>
    </w:p>
    <w:p w14:paraId="53F2B58B" w14:textId="77777777" w:rsidR="0052474D" w:rsidRPr="00C94AF9" w:rsidRDefault="0052474D" w:rsidP="0052474D">
      <w:pPr>
        <w:tabs>
          <w:tab w:val="left" w:pos="1200"/>
        </w:tabs>
        <w:ind w:right="-36"/>
      </w:pPr>
    </w:p>
    <w:sectPr w:rsidR="0052474D" w:rsidRPr="00C94AF9" w:rsidSect="006861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4EED6" w16cex:dateUtc="2020-10-29T13:33:00Z"/>
  <w16cex:commentExtensible w16cex:durableId="2344F325" w16cex:dateUtc="2020-10-29T13:52:00Z"/>
  <w16cex:commentExtensible w16cex:durableId="2344EBEB" w16cex:dateUtc="2020-10-29T13:2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FCAD6" w14:textId="77777777" w:rsidR="00DC100A" w:rsidRDefault="00DC100A" w:rsidP="009D0417">
      <w:pPr>
        <w:spacing w:line="240" w:lineRule="auto"/>
      </w:pPr>
      <w:r>
        <w:separator/>
      </w:r>
    </w:p>
  </w:endnote>
  <w:endnote w:type="continuationSeparator" w:id="0">
    <w:p w14:paraId="1F1F23DD" w14:textId="77777777" w:rsidR="00DC100A" w:rsidRDefault="00DC100A" w:rsidP="009D0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EE466" w14:textId="77777777" w:rsidR="009D0417" w:rsidRDefault="009D04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006C2" w14:textId="77777777" w:rsidR="009D0417" w:rsidRDefault="009D04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B6FC1" w14:textId="77777777" w:rsidR="009D0417" w:rsidRDefault="009D0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AF7EF" w14:textId="77777777" w:rsidR="00DC100A" w:rsidRDefault="00DC100A" w:rsidP="009D0417">
      <w:pPr>
        <w:spacing w:line="240" w:lineRule="auto"/>
      </w:pPr>
      <w:r>
        <w:separator/>
      </w:r>
    </w:p>
  </w:footnote>
  <w:footnote w:type="continuationSeparator" w:id="0">
    <w:p w14:paraId="4DF8A33A" w14:textId="77777777" w:rsidR="00DC100A" w:rsidRDefault="00DC100A" w:rsidP="009D04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7DCDA" w14:textId="77777777" w:rsidR="009D0417" w:rsidRDefault="009D04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3305464"/>
      <w:docPartObj>
        <w:docPartGallery w:val="Watermarks"/>
        <w:docPartUnique/>
      </w:docPartObj>
    </w:sdtPr>
    <w:sdtEndPr/>
    <w:sdtContent>
      <w:p w14:paraId="32F6B9AF" w14:textId="31E31AE0" w:rsidR="009D0417" w:rsidRDefault="00DC100A">
        <w:pPr>
          <w:pStyle w:val="Header"/>
        </w:pPr>
        <w:r>
          <w:rPr>
            <w:noProof/>
          </w:rPr>
          <w:pict w14:anchorId="1B1B19D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06304" w14:textId="77777777" w:rsidR="009D0417" w:rsidRDefault="009D0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94663"/>
    <w:multiLevelType w:val="hybridMultilevel"/>
    <w:tmpl w:val="707A81A0"/>
    <w:lvl w:ilvl="0" w:tplc="6E80B6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859F4"/>
    <w:multiLevelType w:val="hybridMultilevel"/>
    <w:tmpl w:val="08D2C864"/>
    <w:lvl w:ilvl="0" w:tplc="32FC4078">
      <w:start w:val="1"/>
      <w:numFmt w:val="lowerLetter"/>
      <w:lvlText w:val="%1)"/>
      <w:lvlJc w:val="left"/>
      <w:pPr>
        <w:ind w:left="1200" w:hanging="360"/>
      </w:pPr>
      <w:rPr>
        <w:rFonts w:ascii="Times New Roman" w:eastAsia="Arial" w:hAnsi="Times New Roman" w:cs="Times New Roman" w:hint="default"/>
        <w:w w:val="100"/>
        <w:sz w:val="24"/>
        <w:szCs w:val="24"/>
        <w:lang w:val="en-US" w:eastAsia="en-US" w:bidi="ar-SA"/>
      </w:rPr>
    </w:lvl>
    <w:lvl w:ilvl="1" w:tplc="B978AC84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2" w:tplc="B6AA2FFE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3" w:tplc="A6BE7B56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4" w:tplc="0ADCEFA4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5" w:tplc="F516D16A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81644716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 w:tplc="A876220C"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8" w:tplc="683E86CE">
      <w:numFmt w:val="bullet"/>
      <w:lvlText w:val="•"/>
      <w:lvlJc w:val="left"/>
      <w:pPr>
        <w:ind w:left="827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F8"/>
    <w:rsid w:val="0003205E"/>
    <w:rsid w:val="000C0397"/>
    <w:rsid w:val="0015639F"/>
    <w:rsid w:val="001C19C0"/>
    <w:rsid w:val="001D24E4"/>
    <w:rsid w:val="001F19E0"/>
    <w:rsid w:val="002515A7"/>
    <w:rsid w:val="00271F9E"/>
    <w:rsid w:val="002976C0"/>
    <w:rsid w:val="00355FCB"/>
    <w:rsid w:val="003C5F5F"/>
    <w:rsid w:val="00461584"/>
    <w:rsid w:val="004D2540"/>
    <w:rsid w:val="00510AE2"/>
    <w:rsid w:val="00510DB3"/>
    <w:rsid w:val="0052474D"/>
    <w:rsid w:val="00530EC0"/>
    <w:rsid w:val="005343F8"/>
    <w:rsid w:val="005413C7"/>
    <w:rsid w:val="00686155"/>
    <w:rsid w:val="007061BD"/>
    <w:rsid w:val="0077563C"/>
    <w:rsid w:val="007D3EDB"/>
    <w:rsid w:val="007F3088"/>
    <w:rsid w:val="00803800"/>
    <w:rsid w:val="0085707B"/>
    <w:rsid w:val="008A549B"/>
    <w:rsid w:val="008D61AA"/>
    <w:rsid w:val="009B147A"/>
    <w:rsid w:val="009D0417"/>
    <w:rsid w:val="00A23238"/>
    <w:rsid w:val="00A561D6"/>
    <w:rsid w:val="00B125D8"/>
    <w:rsid w:val="00BD61AD"/>
    <w:rsid w:val="00C81E0B"/>
    <w:rsid w:val="00C94AF9"/>
    <w:rsid w:val="00CF3F2A"/>
    <w:rsid w:val="00D07879"/>
    <w:rsid w:val="00DA2B0C"/>
    <w:rsid w:val="00DA4501"/>
    <w:rsid w:val="00DC100A"/>
    <w:rsid w:val="00DE2266"/>
    <w:rsid w:val="00E65515"/>
    <w:rsid w:val="00E878B0"/>
    <w:rsid w:val="00F409E1"/>
    <w:rsid w:val="00F6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221320B"/>
  <w15:chartTrackingRefBased/>
  <w15:docId w15:val="{AE9A5769-89FA-4548-8F39-D6F8A3CF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7563C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7563C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77563C"/>
    <w:pPr>
      <w:widowControl w:val="0"/>
      <w:autoSpaceDE w:val="0"/>
      <w:autoSpaceDN w:val="0"/>
      <w:spacing w:line="240" w:lineRule="auto"/>
      <w:ind w:left="1200" w:hanging="36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D04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417"/>
  </w:style>
  <w:style w:type="paragraph" w:styleId="Footer">
    <w:name w:val="footer"/>
    <w:basedOn w:val="Normal"/>
    <w:link w:val="FooterChar"/>
    <w:uiPriority w:val="99"/>
    <w:unhideWhenUsed/>
    <w:rsid w:val="009D04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417"/>
  </w:style>
  <w:style w:type="character" w:styleId="CommentReference">
    <w:name w:val="annotation reference"/>
    <w:basedOn w:val="DefaultParagraphFont"/>
    <w:uiPriority w:val="99"/>
    <w:semiHidden/>
    <w:unhideWhenUsed/>
    <w:rsid w:val="00BD6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1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1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1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1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A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D3E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3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ita.idaho.gov/psg/p5030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Visio_Drawing.vsdx"/><Relationship Id="rId14" Type="http://schemas.openxmlformats.org/officeDocument/2006/relationships/header" Target="header3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Woodford</dc:creator>
  <cp:keywords/>
  <dc:description/>
  <cp:lastModifiedBy>Mike Woodford</cp:lastModifiedBy>
  <cp:revision>12</cp:revision>
  <dcterms:created xsi:type="dcterms:W3CDTF">2020-10-30T13:32:00Z</dcterms:created>
  <dcterms:modified xsi:type="dcterms:W3CDTF">2020-11-12T20:45:00Z</dcterms:modified>
</cp:coreProperties>
</file>